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9A3DA" w14:textId="77777777" w:rsidR="00975491" w:rsidRPr="006D4011" w:rsidRDefault="00BC2EE7" w:rsidP="00BC2EE7">
      <w:pPr>
        <w:jc w:val="center"/>
        <w:rPr>
          <w:b/>
          <w:sz w:val="26"/>
          <w:szCs w:val="26"/>
        </w:rPr>
      </w:pPr>
      <w:r w:rsidRPr="006D4011">
        <w:rPr>
          <w:b/>
          <w:sz w:val="26"/>
          <w:szCs w:val="26"/>
        </w:rPr>
        <w:t>PROVIDE 2.0 Implementation Planning Tool</w:t>
      </w:r>
    </w:p>
    <w:p w14:paraId="2ADFB9DD" w14:textId="05B7C611" w:rsidR="00BC2EE7" w:rsidRPr="00A13F72" w:rsidRDefault="00644619" w:rsidP="00BC2EE7">
      <w:pPr>
        <w:jc w:val="center"/>
        <w:rPr>
          <w:b/>
          <w:color w:val="ED7D31" w:themeColor="accent2"/>
          <w:sz w:val="24"/>
          <w:szCs w:val="24"/>
        </w:rPr>
      </w:pPr>
      <w:r w:rsidRPr="00A13F72">
        <w:rPr>
          <w:b/>
          <w:color w:val="ED7D31" w:themeColor="accent2"/>
          <w:sz w:val="24"/>
          <w:szCs w:val="24"/>
        </w:rPr>
        <w:t>LABOR DYSTOCIA</w:t>
      </w:r>
      <w:r w:rsidR="00BC2EE7" w:rsidRPr="00A13F72">
        <w:rPr>
          <w:b/>
          <w:color w:val="ED7D31" w:themeColor="accent2"/>
          <w:sz w:val="24"/>
          <w:szCs w:val="24"/>
        </w:rPr>
        <w:t xml:space="preserve"> FOCUS AREA</w:t>
      </w:r>
    </w:p>
    <w:p w14:paraId="63EA1AB1" w14:textId="77777777" w:rsidR="00BC2EE7" w:rsidRPr="00BC2EE7" w:rsidRDefault="009118EC" w:rsidP="00BC2EE7">
      <w:pPr>
        <w:jc w:val="center"/>
        <w:rPr>
          <w:i/>
        </w:rPr>
      </w:pPr>
      <w:r>
        <w:rPr>
          <w:i/>
        </w:rPr>
        <w:t>This tool is meant to facilitate your local team’s QI efforts. It</w:t>
      </w:r>
      <w:r w:rsidR="00BC2EE7">
        <w:rPr>
          <w:i/>
        </w:rPr>
        <w:t xml:space="preserve"> aligns with the Key Driver Diagram for Induction cases.</w:t>
      </w:r>
    </w:p>
    <w:p w14:paraId="270ED61D" w14:textId="146F5513" w:rsidR="00BC2EE7" w:rsidRPr="00A13F72" w:rsidRDefault="00BC2EE7" w:rsidP="00A13F72">
      <w:pPr>
        <w:spacing w:after="200" w:line="276" w:lineRule="auto"/>
        <w:rPr>
          <w:rFonts w:ascii="Calibri" w:eastAsia="Calibri" w:hAnsi="Calibri" w:cs="Times New Roman"/>
          <w:b/>
        </w:rPr>
      </w:pPr>
      <w:r>
        <w:t xml:space="preserve">Overall Aim: </w:t>
      </w:r>
      <w:r w:rsidR="00A13F72" w:rsidRPr="000B686F">
        <w:rPr>
          <w:rFonts w:ascii="Calibri" w:eastAsia="Calibri" w:hAnsi="Calibri" w:cs="Times New Roman"/>
        </w:rPr>
        <w:t xml:space="preserve">Within 18 months of project start, </w:t>
      </w:r>
      <w:r w:rsidR="00A13F72" w:rsidRPr="00A13F72">
        <w:rPr>
          <w:rFonts w:ascii="Calibri" w:eastAsia="Calibri" w:hAnsi="Calibri" w:cs="Times New Roman"/>
          <w:color w:val="E36C0A"/>
        </w:rPr>
        <w:t xml:space="preserve">60% </w:t>
      </w:r>
      <w:r w:rsidR="00A13F72" w:rsidRPr="00A13F72">
        <w:rPr>
          <w:rFonts w:ascii="Calibri" w:eastAsia="Calibri" w:hAnsi="Calibri" w:cs="Times New Roman"/>
        </w:rPr>
        <w:t xml:space="preserve">of NTSV cesarean section rates that were </w:t>
      </w:r>
      <w:r w:rsidR="00A13F72" w:rsidRPr="00A13F72">
        <w:rPr>
          <w:rFonts w:ascii="Calibri" w:eastAsia="Calibri" w:hAnsi="Calibri" w:cs="Times New Roman"/>
          <w:color w:val="E36C0A"/>
        </w:rPr>
        <w:t>labor dystocia cases</w:t>
      </w:r>
      <w:r w:rsidR="00A13F72" w:rsidRPr="00A13F72">
        <w:rPr>
          <w:rFonts w:ascii="Calibri" w:eastAsia="Calibri" w:hAnsi="Calibri" w:cs="Times New Roman"/>
        </w:rPr>
        <w:t xml:space="preserve"> will have met all ACOG/SMFM criteria.</w:t>
      </w:r>
      <w:r w:rsidR="00A13F72" w:rsidRPr="000B686F">
        <w:rPr>
          <w:rFonts w:ascii="Calibri" w:eastAsia="Calibri" w:hAnsi="Calibri" w:cs="Times New Roman"/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96"/>
        <w:gridCol w:w="2575"/>
        <w:gridCol w:w="3615"/>
        <w:gridCol w:w="3965"/>
        <w:gridCol w:w="1394"/>
        <w:gridCol w:w="1345"/>
      </w:tblGrid>
      <w:tr w:rsidR="00D45666" w:rsidRPr="00BC2EE7" w14:paraId="0637662B" w14:textId="77777777" w:rsidTr="00776133">
        <w:tc>
          <w:tcPr>
            <w:tcW w:w="1496" w:type="dxa"/>
            <w:shd w:val="clear" w:color="auto" w:fill="D9E2F3" w:themeFill="accent1" w:themeFillTint="33"/>
          </w:tcPr>
          <w:p w14:paraId="7F38D9E4" w14:textId="77777777" w:rsidR="00D45666" w:rsidRPr="00BC2EE7" w:rsidRDefault="003107AE" w:rsidP="00944E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  <w:r w:rsidR="00D45666" w:rsidRPr="00BC2EE7">
              <w:rPr>
                <w:b/>
                <w:sz w:val="20"/>
                <w:szCs w:val="20"/>
              </w:rPr>
              <w:t>Driver</w:t>
            </w:r>
          </w:p>
        </w:tc>
        <w:tc>
          <w:tcPr>
            <w:tcW w:w="2575" w:type="dxa"/>
            <w:shd w:val="clear" w:color="auto" w:fill="D9E2F3" w:themeFill="accent1" w:themeFillTint="33"/>
          </w:tcPr>
          <w:p w14:paraId="430C0B58" w14:textId="77777777" w:rsidR="00305E18" w:rsidRDefault="00D45666" w:rsidP="00944EE4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Intervention</w:t>
            </w:r>
          </w:p>
          <w:p w14:paraId="401C1133" w14:textId="77777777" w:rsidR="00D45666" w:rsidRPr="00BC2EE7" w:rsidRDefault="00305E18" w:rsidP="00944E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/Measure</w:t>
            </w:r>
          </w:p>
        </w:tc>
        <w:tc>
          <w:tcPr>
            <w:tcW w:w="3615" w:type="dxa"/>
            <w:shd w:val="clear" w:color="auto" w:fill="D9E2F3" w:themeFill="accent1" w:themeFillTint="33"/>
          </w:tcPr>
          <w:p w14:paraId="0FCCB064" w14:textId="77777777" w:rsidR="00D45666" w:rsidRPr="00BC2EE7" w:rsidRDefault="007E0AE7" w:rsidP="00944E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Activities</w:t>
            </w:r>
          </w:p>
        </w:tc>
        <w:tc>
          <w:tcPr>
            <w:tcW w:w="3965" w:type="dxa"/>
            <w:shd w:val="clear" w:color="auto" w:fill="D9E2F3" w:themeFill="accent1" w:themeFillTint="33"/>
          </w:tcPr>
          <w:p w14:paraId="3A979E28" w14:textId="77777777" w:rsidR="00D45666" w:rsidRPr="00BC2EE7" w:rsidRDefault="00D45666" w:rsidP="00944EE4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 xml:space="preserve">Our </w:t>
            </w:r>
            <w:r w:rsidR="007E0AE7">
              <w:rPr>
                <w:b/>
                <w:sz w:val="20"/>
                <w:szCs w:val="20"/>
              </w:rPr>
              <w:t>Plan Notes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59B365A" w14:textId="77777777" w:rsidR="00D45666" w:rsidRPr="00BC2EE7" w:rsidRDefault="00D45666" w:rsidP="00944EE4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Our Tentative Due Date</w:t>
            </w:r>
            <w:r w:rsidR="003107AE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345" w:type="dxa"/>
            <w:shd w:val="clear" w:color="auto" w:fill="D9E2F3" w:themeFill="accent1" w:themeFillTint="33"/>
          </w:tcPr>
          <w:p w14:paraId="0E810206" w14:textId="77777777" w:rsidR="00D45666" w:rsidRPr="00BC2EE7" w:rsidRDefault="00D45666" w:rsidP="00944EE4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Responsible Part</w:t>
            </w:r>
            <w:r w:rsidR="003107AE">
              <w:rPr>
                <w:b/>
                <w:sz w:val="20"/>
                <w:szCs w:val="20"/>
              </w:rPr>
              <w:t>ies</w:t>
            </w:r>
          </w:p>
        </w:tc>
      </w:tr>
      <w:tr w:rsidR="00D45666" w:rsidRPr="00BC2EE7" w14:paraId="0407F357" w14:textId="77777777" w:rsidTr="00776133">
        <w:tc>
          <w:tcPr>
            <w:tcW w:w="1496" w:type="dxa"/>
            <w:vMerge w:val="restart"/>
            <w:shd w:val="clear" w:color="auto" w:fill="D9D9D9" w:themeFill="background1" w:themeFillShade="D9"/>
            <w:vAlign w:val="center"/>
          </w:tcPr>
          <w:p w14:paraId="165725C3" w14:textId="77777777" w:rsidR="00D45666" w:rsidRPr="00BC2EE7" w:rsidRDefault="00D45666" w:rsidP="00944EE4">
            <w:pPr>
              <w:rPr>
                <w:sz w:val="20"/>
                <w:szCs w:val="20"/>
              </w:rPr>
            </w:pPr>
            <w:r w:rsidRPr="00BC2EE7">
              <w:rPr>
                <w:sz w:val="20"/>
                <w:szCs w:val="20"/>
              </w:rPr>
              <w:t>A unit that values, supports, and promotes vaginal deliveries</w:t>
            </w:r>
          </w:p>
        </w:tc>
        <w:tc>
          <w:tcPr>
            <w:tcW w:w="2575" w:type="dxa"/>
          </w:tcPr>
          <w:p w14:paraId="28506EC7" w14:textId="77777777" w:rsidR="00D45666" w:rsidRPr="00BC2EE7" w:rsidRDefault="00D45666" w:rsidP="00944EE4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>I.</w:t>
            </w: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Revise and adopt updated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hospital care guidelines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to reflect evidence-based practices related to: </w:t>
            </w:r>
          </w:p>
          <w:p w14:paraId="30B67FF7" w14:textId="5A32E90E" w:rsidR="00D45666" w:rsidRPr="00BC2EE7" w:rsidRDefault="00D45666" w:rsidP="00776133">
            <w:pPr>
              <w:spacing w:after="200" w:line="276" w:lineRule="auto"/>
              <w:ind w:left="720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>1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. </w:t>
            </w:r>
            <w:r w:rsidR="00A13F72">
              <w:rPr>
                <w:sz w:val="20"/>
                <w:szCs w:val="20"/>
              </w:rPr>
              <w:t xml:space="preserve"> A</w:t>
            </w:r>
            <w:r w:rsidR="00A13F72">
              <w:rPr>
                <w:sz w:val="20"/>
                <w:szCs w:val="20"/>
              </w:rPr>
              <w:t>ppropriate admission criteria and latent labor management</w:t>
            </w:r>
          </w:p>
        </w:tc>
        <w:tc>
          <w:tcPr>
            <w:tcW w:w="3615" w:type="dxa"/>
          </w:tcPr>
          <w:p w14:paraId="6457FEFE" w14:textId="77777777" w:rsidR="00D45666" w:rsidRDefault="00305E18" w:rsidP="00944EE4">
            <w:pPr>
              <w:rPr>
                <w:sz w:val="20"/>
                <w:szCs w:val="20"/>
              </w:rPr>
            </w:pPr>
            <w:r w:rsidRPr="00305E18">
              <w:rPr>
                <w:sz w:val="20"/>
                <w:szCs w:val="20"/>
              </w:rPr>
              <w:t>Establish meeting time with essential team members to establish roles and a plan to begin reviewing your current department guidelines and the ACOG</w:t>
            </w:r>
            <w:r>
              <w:rPr>
                <w:sz w:val="20"/>
                <w:szCs w:val="20"/>
              </w:rPr>
              <w:t>, SMFM, FPQC</w:t>
            </w:r>
            <w:r w:rsidRPr="00305E18">
              <w:rPr>
                <w:sz w:val="20"/>
                <w:szCs w:val="20"/>
              </w:rPr>
              <w:t xml:space="preserve"> recommended guidelines.</w:t>
            </w:r>
          </w:p>
          <w:p w14:paraId="1EDE556E" w14:textId="22BAC1EF" w:rsidR="00305E18" w:rsidRDefault="00D708C6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  <w:r w:rsidR="00A91110">
              <w:rPr>
                <w:sz w:val="20"/>
                <w:szCs w:val="20"/>
              </w:rPr>
              <w:t xml:space="preserve"> </w:t>
            </w:r>
            <w:r w:rsidR="00A13F72">
              <w:rPr>
                <w:sz w:val="20"/>
                <w:szCs w:val="20"/>
              </w:rPr>
              <w:t>admission</w:t>
            </w:r>
            <w:r>
              <w:rPr>
                <w:sz w:val="20"/>
                <w:szCs w:val="20"/>
              </w:rPr>
              <w:t xml:space="preserve"> </w:t>
            </w:r>
            <w:r w:rsidR="00A13F72">
              <w:rPr>
                <w:sz w:val="20"/>
                <w:szCs w:val="20"/>
              </w:rPr>
              <w:t>criteria</w:t>
            </w:r>
            <w:r>
              <w:rPr>
                <w:sz w:val="20"/>
                <w:szCs w:val="20"/>
              </w:rPr>
              <w:t xml:space="preserve"> </w:t>
            </w:r>
            <w:r w:rsidR="00A91110">
              <w:rPr>
                <w:sz w:val="20"/>
                <w:szCs w:val="20"/>
              </w:rPr>
              <w:t>which c</w:t>
            </w:r>
            <w:r w:rsidR="00305E18">
              <w:rPr>
                <w:sz w:val="20"/>
                <w:szCs w:val="20"/>
              </w:rPr>
              <w:t xml:space="preserve">ould include </w:t>
            </w:r>
            <w:r w:rsidR="000D29C6">
              <w:rPr>
                <w:sz w:val="20"/>
                <w:szCs w:val="20"/>
              </w:rPr>
              <w:t xml:space="preserve">admission </w:t>
            </w:r>
            <w:r w:rsidR="00305E18">
              <w:rPr>
                <w:sz w:val="20"/>
                <w:szCs w:val="20"/>
              </w:rPr>
              <w:t>checklists, algorithms, consents</w:t>
            </w:r>
            <w:r w:rsidR="00A13F72">
              <w:rPr>
                <w:sz w:val="20"/>
                <w:szCs w:val="20"/>
              </w:rPr>
              <w:t xml:space="preserve">, </w:t>
            </w:r>
            <w:r w:rsidR="00305E18">
              <w:rPr>
                <w:sz w:val="20"/>
                <w:szCs w:val="20"/>
              </w:rPr>
              <w:t xml:space="preserve">timing, </w:t>
            </w:r>
            <w:r w:rsidR="00A13F72">
              <w:rPr>
                <w:sz w:val="20"/>
                <w:szCs w:val="20"/>
              </w:rPr>
              <w:t>patient education</w:t>
            </w:r>
            <w:r w:rsidR="00305E18">
              <w:rPr>
                <w:sz w:val="20"/>
                <w:szCs w:val="20"/>
              </w:rPr>
              <w:t>,</w:t>
            </w:r>
            <w:r w:rsidR="00A13F72">
              <w:rPr>
                <w:sz w:val="20"/>
                <w:szCs w:val="20"/>
              </w:rPr>
              <w:t xml:space="preserve"> </w:t>
            </w:r>
            <w:r w:rsidR="00305E18">
              <w:rPr>
                <w:sz w:val="20"/>
                <w:szCs w:val="20"/>
              </w:rPr>
              <w:t>and other expectations.</w:t>
            </w:r>
          </w:p>
          <w:p w14:paraId="32B1A46D" w14:textId="798BFF3A" w:rsidR="00A13F72" w:rsidRDefault="00A13F72" w:rsidP="00A13F72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latent labor management guidelines, which c</w:t>
            </w:r>
            <w:r>
              <w:rPr>
                <w:sz w:val="20"/>
                <w:szCs w:val="20"/>
              </w:rPr>
              <w:t>ould include cervical exam and timing expectations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latent labor best practices, algorithms, consents, oxytocin and AROM policies, definition of labor arrest, alternatives, and other expectations.</w:t>
            </w:r>
          </w:p>
          <w:p w14:paraId="2D16BC86" w14:textId="237065C5" w:rsidR="00A91110" w:rsidRDefault="00D708C6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tests of change; share results</w:t>
            </w:r>
            <w:r w:rsidR="00305E18">
              <w:rPr>
                <w:sz w:val="20"/>
                <w:szCs w:val="20"/>
              </w:rPr>
              <w:t xml:space="preserve"> and solicit feedback from staff and providers</w:t>
            </w:r>
            <w:r w:rsidR="000D29C6">
              <w:rPr>
                <w:sz w:val="20"/>
                <w:szCs w:val="20"/>
              </w:rPr>
              <w:t xml:space="preserve"> (PDSA cycle). </w:t>
            </w:r>
          </w:p>
          <w:p w14:paraId="4C2ADC55" w14:textId="2B0074AC" w:rsidR="00A91110" w:rsidRDefault="00A91110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and implement a standardized plan for admission criteria components or checklists</w:t>
            </w:r>
            <w:r w:rsidR="00717C36">
              <w:rPr>
                <w:sz w:val="20"/>
                <w:szCs w:val="20"/>
              </w:rPr>
              <w:t xml:space="preserve"> and modify hospital guidelines accordingly</w:t>
            </w:r>
            <w:r>
              <w:rPr>
                <w:sz w:val="20"/>
                <w:szCs w:val="20"/>
              </w:rPr>
              <w:t>.</w:t>
            </w:r>
          </w:p>
          <w:p w14:paraId="528019CD" w14:textId="29FCEC37" w:rsidR="00305E18" w:rsidRPr="00BC2EE7" w:rsidRDefault="00305E18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date of adoption of new </w:t>
            </w:r>
            <w:r w:rsidR="00717C36">
              <w:rPr>
                <w:sz w:val="20"/>
                <w:szCs w:val="20"/>
              </w:rPr>
              <w:t>guidelines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5" w:type="dxa"/>
          </w:tcPr>
          <w:p w14:paraId="176ABA32" w14:textId="77777777" w:rsidR="00D45666" w:rsidRPr="00BC2EE7" w:rsidRDefault="00D45666" w:rsidP="00944EE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475D924" w14:textId="77777777" w:rsidR="00D45666" w:rsidRPr="00BC2EE7" w:rsidRDefault="00D45666" w:rsidP="00944EE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68183722" w14:textId="77777777" w:rsidR="00D45666" w:rsidRPr="00BC2EE7" w:rsidRDefault="00D45666" w:rsidP="00944EE4">
            <w:pPr>
              <w:rPr>
                <w:sz w:val="20"/>
                <w:szCs w:val="20"/>
              </w:rPr>
            </w:pPr>
          </w:p>
        </w:tc>
      </w:tr>
      <w:tr w:rsidR="00A13F72" w:rsidRPr="00BC2EE7" w14:paraId="3CF9DC58" w14:textId="77777777" w:rsidTr="00776133">
        <w:tc>
          <w:tcPr>
            <w:tcW w:w="1496" w:type="dxa"/>
            <w:vMerge/>
            <w:shd w:val="clear" w:color="auto" w:fill="D9D9D9" w:themeFill="background1" w:themeFillShade="D9"/>
            <w:vAlign w:val="center"/>
          </w:tcPr>
          <w:p w14:paraId="400EF7DE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14:paraId="77760FB6" w14:textId="77777777" w:rsidR="00A13F72" w:rsidRPr="00BC2EE7" w:rsidRDefault="00A13F72" w:rsidP="00944EE4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>I.</w:t>
            </w: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Revise and adopt updated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hospital care guidelines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to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lastRenderedPageBreak/>
              <w:t xml:space="preserve">reflect evidence-based practices related to: </w:t>
            </w:r>
          </w:p>
          <w:p w14:paraId="7577D62E" w14:textId="54F8A6ED" w:rsidR="00A13F72" w:rsidRPr="00BC2EE7" w:rsidRDefault="00A13F72" w:rsidP="00776133">
            <w:pPr>
              <w:spacing w:after="200" w:line="276" w:lineRule="auto"/>
              <w:ind w:left="720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2. </w:t>
            </w:r>
            <w:r>
              <w:rPr>
                <w:rFonts w:ascii="Calibri" w:eastAsia="Calibri" w:hAnsi="Calibri"/>
                <w:sz w:val="20"/>
                <w:szCs w:val="20"/>
              </w:rPr>
              <w:t>A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ctive stage of labor management/labor dystocia criteria; </w:t>
            </w:r>
          </w:p>
        </w:tc>
        <w:tc>
          <w:tcPr>
            <w:tcW w:w="3615" w:type="dxa"/>
          </w:tcPr>
          <w:p w14:paraId="17E65BEB" w14:textId="77777777" w:rsidR="00A13F72" w:rsidRDefault="00A13F72" w:rsidP="00944EE4">
            <w:pPr>
              <w:rPr>
                <w:sz w:val="20"/>
                <w:szCs w:val="20"/>
              </w:rPr>
            </w:pPr>
            <w:r w:rsidRPr="00305E18">
              <w:rPr>
                <w:sz w:val="20"/>
                <w:szCs w:val="20"/>
              </w:rPr>
              <w:lastRenderedPageBreak/>
              <w:t xml:space="preserve">Establish meeting time with essential team members to establish roles and a plan to begin reviewing your current </w:t>
            </w:r>
            <w:r w:rsidRPr="00305E18">
              <w:rPr>
                <w:sz w:val="20"/>
                <w:szCs w:val="20"/>
              </w:rPr>
              <w:lastRenderedPageBreak/>
              <w:t>department guidelines and the ACOG</w:t>
            </w:r>
            <w:r>
              <w:rPr>
                <w:sz w:val="20"/>
                <w:szCs w:val="20"/>
              </w:rPr>
              <w:t>, SMFM, FPQC</w:t>
            </w:r>
            <w:r w:rsidRPr="00305E18">
              <w:rPr>
                <w:sz w:val="20"/>
                <w:szCs w:val="20"/>
              </w:rPr>
              <w:t xml:space="preserve"> recommended guidelines.</w:t>
            </w:r>
          </w:p>
          <w:p w14:paraId="7B6111BF" w14:textId="77777777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update labor management guidelines which could include algorithms, active labor best practices, including timing expectations, oxytocin policies, definition of active labor arrest, pre-cesarean huddles or checklist, and use of labor progression support tools including movement, medication, doulas, nutrition, intermittent monitoring.</w:t>
            </w:r>
          </w:p>
          <w:p w14:paraId="55F2C23F" w14:textId="77777777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Conduct tests of change; share results and solicit feedback from staff and providers (PDSA cycle). </w:t>
            </w:r>
          </w:p>
          <w:p w14:paraId="5D12E073" w14:textId="77777777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and implement a standardized plan for labor management/labor dystocia criteria components or checklists and modify hospital guidelines.</w:t>
            </w:r>
          </w:p>
          <w:p w14:paraId="346E6E91" w14:textId="38397564" w:rsidR="00A13F72" w:rsidRPr="00BC2EE7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date of adoption of new guidelines.</w:t>
            </w:r>
          </w:p>
        </w:tc>
        <w:tc>
          <w:tcPr>
            <w:tcW w:w="3965" w:type="dxa"/>
          </w:tcPr>
          <w:p w14:paraId="0B948F04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5D3F33DD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5CB593F4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</w:tr>
      <w:tr w:rsidR="00A13F72" w:rsidRPr="00BC2EE7" w14:paraId="030F612E" w14:textId="77777777" w:rsidTr="00776133">
        <w:tc>
          <w:tcPr>
            <w:tcW w:w="1496" w:type="dxa"/>
            <w:vMerge/>
            <w:shd w:val="clear" w:color="auto" w:fill="D9D9D9" w:themeFill="background1" w:themeFillShade="D9"/>
            <w:vAlign w:val="center"/>
          </w:tcPr>
          <w:p w14:paraId="5886FA9A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14:paraId="72D64E41" w14:textId="77777777" w:rsidR="00A13F72" w:rsidRDefault="00A13F72" w:rsidP="00944EE4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>I.</w:t>
            </w: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Revise and adopt updated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hospital care guidelines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to reflect evidence-based practices related to: </w:t>
            </w:r>
          </w:p>
          <w:p w14:paraId="7D50D866" w14:textId="4EEB55C1" w:rsidR="00A13F72" w:rsidRPr="00BC2EE7" w:rsidRDefault="00A13F72" w:rsidP="00776133">
            <w:pPr>
              <w:spacing w:after="200" w:line="276" w:lineRule="auto"/>
              <w:ind w:left="720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>3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>. Second stage management/arrest criteria.</w:t>
            </w:r>
          </w:p>
        </w:tc>
        <w:tc>
          <w:tcPr>
            <w:tcW w:w="3615" w:type="dxa"/>
          </w:tcPr>
          <w:p w14:paraId="5321F76E" w14:textId="77777777" w:rsidR="00A13F72" w:rsidRDefault="00A13F72" w:rsidP="00944EE4">
            <w:pPr>
              <w:rPr>
                <w:sz w:val="20"/>
                <w:szCs w:val="20"/>
              </w:rPr>
            </w:pPr>
            <w:r w:rsidRPr="00305E18">
              <w:rPr>
                <w:sz w:val="20"/>
                <w:szCs w:val="20"/>
              </w:rPr>
              <w:t>Establish meeting time with essential team members to establish roles and a plan to begin reviewing your current department guidelines and the ACOG</w:t>
            </w:r>
            <w:r>
              <w:rPr>
                <w:sz w:val="20"/>
                <w:szCs w:val="20"/>
              </w:rPr>
              <w:t>, SMFM, FPQC</w:t>
            </w:r>
            <w:r w:rsidRPr="00305E18">
              <w:rPr>
                <w:sz w:val="20"/>
                <w:szCs w:val="20"/>
              </w:rPr>
              <w:t xml:space="preserve"> recommended guidelines.</w:t>
            </w:r>
          </w:p>
          <w:p w14:paraId="591E0E1A" w14:textId="77777777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update second stage management/arrest criteria which could include second stage best practices, including timing expectations, positioning and movement, pre-cesarean huddle or checklist, algorithms, management of malposition. </w:t>
            </w:r>
          </w:p>
          <w:p w14:paraId="710FDECC" w14:textId="77777777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Conduct tests of change; share results and solicit feedback from staff and providers (PDSA cycle). </w:t>
            </w:r>
          </w:p>
          <w:p w14:paraId="08E332C5" w14:textId="77777777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Determine and implement a standardized plan for labor management/labor dystocia criteria components or checklists and modify hospital guidelines </w:t>
            </w:r>
          </w:p>
          <w:p w14:paraId="2A1443A8" w14:textId="0F1F7062" w:rsidR="00A13F72" w:rsidRPr="00BC2EE7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date of adoption of new policies.</w:t>
            </w:r>
          </w:p>
        </w:tc>
        <w:tc>
          <w:tcPr>
            <w:tcW w:w="3965" w:type="dxa"/>
          </w:tcPr>
          <w:p w14:paraId="66744358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5487378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178276AC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</w:tr>
      <w:tr w:rsidR="00A13F72" w:rsidRPr="00BC2EE7" w14:paraId="128954CE" w14:textId="77777777" w:rsidTr="00776133">
        <w:tc>
          <w:tcPr>
            <w:tcW w:w="1496" w:type="dxa"/>
            <w:vMerge/>
            <w:shd w:val="clear" w:color="auto" w:fill="D9D9D9" w:themeFill="background1" w:themeFillShade="D9"/>
            <w:vAlign w:val="center"/>
          </w:tcPr>
          <w:p w14:paraId="000FDA23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14:paraId="7F9EC357" w14:textId="2AC3100D" w:rsidR="00A13F72" w:rsidRPr="00BC2EE7" w:rsidRDefault="00A13F72" w:rsidP="00944EE4">
            <w:pPr>
              <w:spacing w:after="200" w:line="276" w:lineRule="auto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b/>
                <w:bCs/>
                <w:color w:val="ED7D31" w:themeColor="accent2"/>
                <w:sz w:val="20"/>
                <w:szCs w:val="20"/>
              </w:rPr>
              <w:t xml:space="preserve">II.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Educate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physicians, nursing, and staff on new evidence-based practices and policies/protocols related the newly revised and adopted hospital guidelines</w:t>
            </w:r>
          </w:p>
        </w:tc>
        <w:tc>
          <w:tcPr>
            <w:tcW w:w="3615" w:type="dxa"/>
          </w:tcPr>
          <w:p w14:paraId="2483575D" w14:textId="47CA1D95" w:rsidR="00A13F72" w:rsidRDefault="00A13F72" w:rsidP="0094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plan to </w:t>
            </w:r>
            <w:r w:rsidRPr="000D29C6">
              <w:rPr>
                <w:sz w:val="20"/>
                <w:szCs w:val="20"/>
              </w:rPr>
              <w:t>increase communication to identify opportunities to improve and standardize care</w:t>
            </w:r>
            <w:r>
              <w:rPr>
                <w:sz w:val="20"/>
                <w:szCs w:val="20"/>
              </w:rPr>
              <w:t xml:space="preserve"> and t</w:t>
            </w:r>
            <w:r w:rsidRPr="000D29C6">
              <w:rPr>
                <w:sz w:val="20"/>
                <w:szCs w:val="20"/>
              </w:rPr>
              <w:t>ie education to interim steps for smaller changes in practice</w:t>
            </w:r>
            <w:r>
              <w:rPr>
                <w:sz w:val="20"/>
                <w:szCs w:val="20"/>
              </w:rPr>
              <w:t>.</w:t>
            </w:r>
            <w:r w:rsidRPr="000D29C6">
              <w:rPr>
                <w:sz w:val="20"/>
                <w:szCs w:val="20"/>
              </w:rPr>
              <w:t xml:space="preserve"> </w:t>
            </w:r>
          </w:p>
          <w:p w14:paraId="5DBB3F88" w14:textId="77777777" w:rsidR="00A13F72" w:rsidRDefault="00A13F72" w:rsidP="00944EE4">
            <w:pPr>
              <w:rPr>
                <w:sz w:val="20"/>
                <w:szCs w:val="20"/>
              </w:rPr>
            </w:pPr>
          </w:p>
          <w:p w14:paraId="73813FCF" w14:textId="77777777" w:rsidR="00A13F72" w:rsidRDefault="00A13F72" w:rsidP="0094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 topics could include: </w:t>
            </w:r>
          </w:p>
          <w:p w14:paraId="4079EE9F" w14:textId="77777777" w:rsidR="00A13F72" w:rsidRDefault="00A13F72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457794">
              <w:rPr>
                <w:sz w:val="20"/>
                <w:szCs w:val="20"/>
              </w:rPr>
              <w:t xml:space="preserve">he Safe Reduction of Primary C/S: Support for Intended Vaginal Births bundle and </w:t>
            </w:r>
            <w:r>
              <w:rPr>
                <w:sz w:val="20"/>
                <w:szCs w:val="20"/>
              </w:rPr>
              <w:t>your</w:t>
            </w:r>
            <w:r w:rsidRPr="00457794">
              <w:rPr>
                <w:sz w:val="20"/>
                <w:szCs w:val="20"/>
              </w:rPr>
              <w:t xml:space="preserve"> unit-standard protocol</w:t>
            </w:r>
          </w:p>
          <w:p w14:paraId="20C41E82" w14:textId="77777777" w:rsidR="00A13F72" w:rsidRDefault="00A13F72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induction scheduling and admission criteria</w:t>
            </w:r>
          </w:p>
          <w:p w14:paraId="1ED3256A" w14:textId="77777777" w:rsidR="00A13F72" w:rsidRDefault="00A13F72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Latent and active labor management and labor dystocia criteria</w:t>
            </w:r>
          </w:p>
          <w:p w14:paraId="254F123A" w14:textId="77777777" w:rsidR="00A13F72" w:rsidRDefault="00A13F72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stage management/arrest criteria</w:t>
            </w:r>
          </w:p>
          <w:p w14:paraId="657AEFD1" w14:textId="77777777" w:rsidR="00A13F72" w:rsidRDefault="00A13F72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to promote labor progress and prevent malposition</w:t>
            </w:r>
          </w:p>
          <w:p w14:paraId="384F2055" w14:textId="77777777" w:rsidR="00A13F72" w:rsidRDefault="00A13F72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 support and shared decision making</w:t>
            </w:r>
          </w:p>
          <w:p w14:paraId="4E983CF0" w14:textId="77777777" w:rsidR="00A13F72" w:rsidRDefault="00A13F72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 management (pharmacologic and non-pharmacologic)</w:t>
            </w:r>
          </w:p>
          <w:p w14:paraId="416697C8" w14:textId="77777777" w:rsidR="00A13F72" w:rsidRPr="000D29C6" w:rsidRDefault="00A13F72" w:rsidP="00944EE4">
            <w:pPr>
              <w:rPr>
                <w:sz w:val="20"/>
                <w:szCs w:val="20"/>
              </w:rPr>
            </w:pPr>
          </w:p>
          <w:p w14:paraId="5B1A9D14" w14:textId="17D9B045" w:rsidR="00A13F72" w:rsidRPr="00BC2EE7" w:rsidRDefault="00A13F72" w:rsidP="00944EE4">
            <w:pPr>
              <w:spacing w:before="240"/>
              <w:rPr>
                <w:sz w:val="20"/>
                <w:szCs w:val="20"/>
              </w:rPr>
            </w:pPr>
            <w:r w:rsidRPr="000D29C6">
              <w:rPr>
                <w:sz w:val="20"/>
                <w:szCs w:val="20"/>
              </w:rPr>
              <w:t>Track the number of existing MD’s and non-MD clinical staff who receive didactic/cognitive and skills education</w:t>
            </w:r>
            <w:r>
              <w:rPr>
                <w:sz w:val="20"/>
                <w:szCs w:val="20"/>
              </w:rPr>
              <w:t xml:space="preserve">. </w:t>
            </w:r>
            <w:r w:rsidRPr="000D29C6">
              <w:rPr>
                <w:sz w:val="20"/>
                <w:szCs w:val="20"/>
              </w:rPr>
              <w:lastRenderedPageBreak/>
              <w:t>Track the number of new hires who receive education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5" w:type="dxa"/>
          </w:tcPr>
          <w:p w14:paraId="2708DEA9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A52BD6F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7339FC1A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</w:tr>
      <w:tr w:rsidR="00A13F72" w:rsidRPr="00BC2EE7" w14:paraId="56BFBF6D" w14:textId="77777777" w:rsidTr="00776133">
        <w:trPr>
          <w:trHeight w:val="3050"/>
        </w:trPr>
        <w:tc>
          <w:tcPr>
            <w:tcW w:w="1496" w:type="dxa"/>
            <w:vMerge/>
            <w:shd w:val="clear" w:color="auto" w:fill="D9D9D9" w:themeFill="background1" w:themeFillShade="D9"/>
          </w:tcPr>
          <w:p w14:paraId="398710EB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14:paraId="0DA0D60D" w14:textId="21C2D68C" w:rsidR="00A13F72" w:rsidRPr="00BC2EE7" w:rsidRDefault="00A13F72" w:rsidP="00944EE4">
            <w:pPr>
              <w:spacing w:after="200" w:line="276" w:lineRule="auto"/>
              <w:rPr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>III.</w:t>
            </w: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Document use of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patient education materials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on evidence-based techniques that prevent cesareans</w:t>
            </w:r>
          </w:p>
        </w:tc>
        <w:tc>
          <w:tcPr>
            <w:tcW w:w="3615" w:type="dxa"/>
          </w:tcPr>
          <w:p w14:paraId="7A782D08" w14:textId="7A5BA460" w:rsidR="00A13F72" w:rsidRDefault="00A13F72" w:rsidP="00944EE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plan to find, create, encourage, and document</w:t>
            </w:r>
            <w:r>
              <w:rPr>
                <w:rFonts w:eastAsia="Times New Roman"/>
                <w:sz w:val="20"/>
                <w:szCs w:val="20"/>
              </w:rPr>
              <w:t xml:space="preserve"> use of patient education</w:t>
            </w:r>
            <w:r>
              <w:t xml:space="preserve"> </w:t>
            </w:r>
            <w:r w:rsidRPr="00344882">
              <w:rPr>
                <w:rFonts w:eastAsia="Times New Roman"/>
                <w:sz w:val="20"/>
                <w:szCs w:val="20"/>
              </w:rPr>
              <w:t>materials on evidence-based techniques that prevent cesareans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="00F35FC6">
              <w:rPr>
                <w:rFonts w:eastAsia="Times New Roman"/>
                <w:sz w:val="20"/>
                <w:szCs w:val="20"/>
              </w:rPr>
              <w:t>including:</w:t>
            </w:r>
          </w:p>
          <w:p w14:paraId="6F64831D" w14:textId="77777777" w:rsidR="00A13F72" w:rsidRDefault="00A13F72" w:rsidP="00944EE4">
            <w:pPr>
              <w:rPr>
                <w:rFonts w:eastAsia="Times New Roman"/>
                <w:sz w:val="20"/>
                <w:szCs w:val="20"/>
              </w:rPr>
            </w:pPr>
          </w:p>
          <w:p w14:paraId="7E06EF6F" w14:textId="77777777" w:rsidR="00A13F72" w:rsidRPr="00F2054C" w:rsidRDefault="00A13F72" w:rsidP="00944E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F2054C">
              <w:rPr>
                <w:rFonts w:eastAsia="Times New Roman"/>
                <w:sz w:val="20"/>
                <w:szCs w:val="20"/>
              </w:rPr>
              <w:t>hared decision making</w:t>
            </w:r>
          </w:p>
          <w:p w14:paraId="6B1C77EC" w14:textId="77777777" w:rsidR="00A13F72" w:rsidRPr="00F2054C" w:rsidRDefault="00A13F72" w:rsidP="00944E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  <w:r w:rsidRPr="00F2054C">
              <w:rPr>
                <w:rFonts w:eastAsia="Times New Roman"/>
                <w:sz w:val="20"/>
                <w:szCs w:val="20"/>
              </w:rPr>
              <w:t>irth doulas</w:t>
            </w:r>
          </w:p>
          <w:p w14:paraId="3E3189A7" w14:textId="77777777" w:rsidR="00A13F72" w:rsidRPr="00F2054C" w:rsidRDefault="00A13F72" w:rsidP="00944E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Pr="00F2054C">
              <w:rPr>
                <w:rFonts w:eastAsia="Times New Roman"/>
                <w:sz w:val="20"/>
                <w:szCs w:val="20"/>
              </w:rPr>
              <w:t>harm and non-pharm comfort techniques</w:t>
            </w:r>
          </w:p>
          <w:p w14:paraId="0D7A9B52" w14:textId="77777777" w:rsidR="00A13F72" w:rsidRPr="00F2054C" w:rsidRDefault="00A13F72" w:rsidP="00944E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F2054C">
              <w:rPr>
                <w:rFonts w:eastAsia="Times New Roman"/>
                <w:sz w:val="20"/>
                <w:szCs w:val="20"/>
              </w:rPr>
              <w:t>trategies to promote labor progress/prevent dystocia.</w:t>
            </w:r>
          </w:p>
          <w:p w14:paraId="259A0CD3" w14:textId="4AAD6E95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</w:tcPr>
          <w:p w14:paraId="21EAD385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48C15920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3C85093A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</w:tr>
      <w:tr w:rsidR="00776133" w:rsidRPr="00BC2EE7" w14:paraId="11A250FB" w14:textId="77777777" w:rsidTr="00776133">
        <w:tc>
          <w:tcPr>
            <w:tcW w:w="1496" w:type="dxa"/>
            <w:shd w:val="clear" w:color="auto" w:fill="D9E2F3" w:themeFill="accent1" w:themeFillTint="33"/>
          </w:tcPr>
          <w:p w14:paraId="28EFC09B" w14:textId="5492C9BE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  <w:r w:rsidRPr="00BC2EE7">
              <w:rPr>
                <w:b/>
                <w:sz w:val="20"/>
                <w:szCs w:val="20"/>
              </w:rPr>
              <w:t>Driver</w:t>
            </w:r>
          </w:p>
        </w:tc>
        <w:tc>
          <w:tcPr>
            <w:tcW w:w="2575" w:type="dxa"/>
            <w:shd w:val="clear" w:color="auto" w:fill="D9E2F3" w:themeFill="accent1" w:themeFillTint="33"/>
          </w:tcPr>
          <w:p w14:paraId="02D1027A" w14:textId="77777777" w:rsidR="00776133" w:rsidRDefault="00776133" w:rsidP="00776133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Intervention</w:t>
            </w:r>
          </w:p>
          <w:p w14:paraId="10BCB37B" w14:textId="2758C11D" w:rsidR="00776133" w:rsidRPr="00BC2EE7" w:rsidRDefault="00776133" w:rsidP="00776133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/Measure</w:t>
            </w:r>
          </w:p>
        </w:tc>
        <w:tc>
          <w:tcPr>
            <w:tcW w:w="3615" w:type="dxa"/>
            <w:shd w:val="clear" w:color="auto" w:fill="D9E2F3" w:themeFill="accent1" w:themeFillTint="33"/>
          </w:tcPr>
          <w:p w14:paraId="323E3FDD" w14:textId="12F53142" w:rsidR="00776133" w:rsidRDefault="00776133" w:rsidP="007761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Activities</w:t>
            </w:r>
          </w:p>
        </w:tc>
        <w:tc>
          <w:tcPr>
            <w:tcW w:w="3965" w:type="dxa"/>
            <w:shd w:val="clear" w:color="auto" w:fill="D9E2F3" w:themeFill="accent1" w:themeFillTint="33"/>
          </w:tcPr>
          <w:p w14:paraId="1924D462" w14:textId="636F7289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 xml:space="preserve">Our </w:t>
            </w:r>
            <w:r>
              <w:rPr>
                <w:b/>
                <w:sz w:val="20"/>
                <w:szCs w:val="20"/>
              </w:rPr>
              <w:t>Plan Notes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F477F0" w14:textId="4589EF80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Our Tentative Due Date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345" w:type="dxa"/>
            <w:shd w:val="clear" w:color="auto" w:fill="D9E2F3" w:themeFill="accent1" w:themeFillTint="33"/>
          </w:tcPr>
          <w:p w14:paraId="21A9FED7" w14:textId="57B5D365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Responsible Part</w:t>
            </w:r>
            <w:r>
              <w:rPr>
                <w:b/>
                <w:sz w:val="20"/>
                <w:szCs w:val="20"/>
              </w:rPr>
              <w:t>ies</w:t>
            </w:r>
          </w:p>
        </w:tc>
      </w:tr>
      <w:tr w:rsidR="00776133" w:rsidRPr="00BC2EE7" w14:paraId="07E5EF52" w14:textId="77777777" w:rsidTr="00776133">
        <w:tc>
          <w:tcPr>
            <w:tcW w:w="1496" w:type="dxa"/>
            <w:vMerge w:val="restart"/>
            <w:shd w:val="clear" w:color="auto" w:fill="E2EFD9" w:themeFill="accent6" w:themeFillTint="33"/>
          </w:tcPr>
          <w:p w14:paraId="04A93A7B" w14:textId="77777777" w:rsidR="00776133" w:rsidRPr="000B686F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Standardization of processes related to admission and latent stage of labor</w:t>
            </w:r>
          </w:p>
          <w:p w14:paraId="35B66224" w14:textId="77777777" w:rsidR="00776133" w:rsidRDefault="00776133" w:rsidP="00776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5" w:type="dxa"/>
          </w:tcPr>
          <w:p w14:paraId="30DFCDE7" w14:textId="5F1F054B" w:rsidR="00776133" w:rsidRPr="00012FD7" w:rsidRDefault="00776133" w:rsidP="00776133">
            <w:pPr>
              <w:spacing w:line="276" w:lineRule="auto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>IV</w:t>
            </w: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. </w:t>
            </w:r>
            <w:r w:rsidRPr="00776133">
              <w:rPr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Increase number of patients that are not admitted </w:t>
            </w:r>
            <w:r w:rsidRPr="005634F2">
              <w:rPr>
                <w:sz w:val="20"/>
                <w:szCs w:val="20"/>
              </w:rPr>
              <w:t>until 6 or more centimeters (active labor)</w:t>
            </w:r>
          </w:p>
        </w:tc>
        <w:tc>
          <w:tcPr>
            <w:tcW w:w="3615" w:type="dxa"/>
          </w:tcPr>
          <w:p w14:paraId="35774247" w14:textId="3A4BC1ED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 care providers</w:t>
            </w:r>
            <w:r>
              <w:rPr>
                <w:sz w:val="20"/>
                <w:szCs w:val="20"/>
              </w:rPr>
              <w:t xml:space="preserve"> and staff</w:t>
            </w:r>
            <w:r>
              <w:rPr>
                <w:sz w:val="20"/>
                <w:szCs w:val="20"/>
              </w:rPr>
              <w:t xml:space="preserve"> about the</w:t>
            </w:r>
            <w:r>
              <w:rPr>
                <w:sz w:val="20"/>
                <w:szCs w:val="20"/>
              </w:rPr>
              <w:t xml:space="preserve"> new evidence-base, definitions, and recommendations related to labor curves for primipara patients.</w:t>
            </w:r>
          </w:p>
          <w:p w14:paraId="3B365FF5" w14:textId="77777777" w:rsidR="00776133" w:rsidRDefault="00776133" w:rsidP="00776133">
            <w:pPr>
              <w:rPr>
                <w:sz w:val="20"/>
                <w:szCs w:val="20"/>
              </w:rPr>
            </w:pPr>
          </w:p>
          <w:p w14:paraId="1D3DC667" w14:textId="1B575A0F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</w:t>
            </w:r>
            <w:r>
              <w:rPr>
                <w:sz w:val="20"/>
                <w:szCs w:val="20"/>
              </w:rPr>
              <w:t xml:space="preserve">standard process for when to admit and not to admit patients in latent labor, which could include a checklist and patient education materials. </w:t>
            </w:r>
          </w:p>
          <w:p w14:paraId="56DE5F9E" w14:textId="77777777" w:rsidR="00776133" w:rsidRDefault="00776133" w:rsidP="00776133">
            <w:pPr>
              <w:rPr>
                <w:sz w:val="20"/>
                <w:szCs w:val="20"/>
              </w:rPr>
            </w:pPr>
          </w:p>
          <w:p w14:paraId="14EAF40F" w14:textId="2C0721B1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 to do PDSA cycles, solicit feedback, improve processes, do case reviews, and incorporate into department guidelines. </w:t>
            </w:r>
          </w:p>
        </w:tc>
        <w:tc>
          <w:tcPr>
            <w:tcW w:w="3965" w:type="dxa"/>
          </w:tcPr>
          <w:p w14:paraId="14A18E76" w14:textId="77777777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4E30263" w14:textId="77777777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63DF484F" w14:textId="77777777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</w:p>
        </w:tc>
      </w:tr>
      <w:tr w:rsidR="00776133" w:rsidRPr="00BC2EE7" w14:paraId="5B29835D" w14:textId="77777777" w:rsidTr="00776133">
        <w:tc>
          <w:tcPr>
            <w:tcW w:w="1496" w:type="dxa"/>
            <w:vMerge/>
            <w:shd w:val="clear" w:color="auto" w:fill="E2EFD9" w:themeFill="accent6" w:themeFillTint="33"/>
            <w:vAlign w:val="center"/>
          </w:tcPr>
          <w:p w14:paraId="4E83231E" w14:textId="4699222E" w:rsidR="00776133" w:rsidRPr="00BC2EE7" w:rsidRDefault="00776133" w:rsidP="00776133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14:paraId="2DB86157" w14:textId="77777777" w:rsidR="00776133" w:rsidRDefault="00776133" w:rsidP="00776133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>V</w:t>
            </w: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. 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Reduce percent of NTSV cesareans with labor dystocia where </w:t>
            </w:r>
            <w:r w:rsidRPr="00012FD7">
              <w:rPr>
                <w:rFonts w:ascii="Calibri" w:eastAsia="Calibri" w:hAnsi="Calibri"/>
                <w:b/>
                <w:sz w:val="20"/>
                <w:szCs w:val="20"/>
              </w:rPr>
              <w:t>recommended criteria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are not met at:</w:t>
            </w:r>
          </w:p>
          <w:p w14:paraId="17E71882" w14:textId="5CE3E440" w:rsidR="00776133" w:rsidRPr="00BC2EE7" w:rsidRDefault="00776133" w:rsidP="00CF6927">
            <w:pPr>
              <w:spacing w:after="200" w:line="276" w:lineRule="auto"/>
              <w:ind w:left="72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a.) </w:t>
            </w:r>
            <w:r>
              <w:rPr>
                <w:rFonts w:ascii="Calibri" w:eastAsia="Calibri" w:hAnsi="Calibri"/>
                <w:sz w:val="20"/>
                <w:szCs w:val="20"/>
              </w:rPr>
              <w:t>&lt; 6 cm</w:t>
            </w:r>
          </w:p>
        </w:tc>
        <w:tc>
          <w:tcPr>
            <w:tcW w:w="3615" w:type="dxa"/>
          </w:tcPr>
          <w:p w14:paraId="6CE5DE7E" w14:textId="278C84BE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educate care providers and staff on evidence-based recommended management, practices, and dystocia definitions for latent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stages of labor. To include:</w:t>
            </w:r>
          </w:p>
          <w:p w14:paraId="49958B46" w14:textId="77777777" w:rsidR="00776133" w:rsidRDefault="00776133" w:rsidP="007761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Latent labor management prior to 6 cm for primiparas</w:t>
            </w:r>
          </w:p>
          <w:p w14:paraId="090CCDE1" w14:textId="77777777" w:rsidR="00776133" w:rsidRDefault="00776133" w:rsidP="007761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uterine activity, oxytocin, and AROM</w:t>
            </w:r>
          </w:p>
          <w:p w14:paraId="62C6664B" w14:textId="77777777" w:rsidR="00776133" w:rsidRDefault="00776133" w:rsidP="007761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Algorithms and pre-cesarean checklists</w:t>
            </w:r>
          </w:p>
          <w:p w14:paraId="704F3C3C" w14:textId="77777777" w:rsidR="00776133" w:rsidRDefault="00776133" w:rsidP="00776133">
            <w:pPr>
              <w:rPr>
                <w:sz w:val="20"/>
                <w:szCs w:val="20"/>
              </w:rPr>
            </w:pPr>
          </w:p>
          <w:p w14:paraId="7406E707" w14:textId="2AC6C6B4" w:rsidR="00776133" w:rsidRPr="00BC2EE7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PDSA cycles and case reviews focusing on one labor stage at a time.</w:t>
            </w:r>
          </w:p>
        </w:tc>
        <w:tc>
          <w:tcPr>
            <w:tcW w:w="3965" w:type="dxa"/>
          </w:tcPr>
          <w:p w14:paraId="47D9F3C6" w14:textId="77777777" w:rsidR="00776133" w:rsidRPr="00BC2EE7" w:rsidRDefault="00776133" w:rsidP="00776133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F69D311" w14:textId="77777777" w:rsidR="00776133" w:rsidRPr="00BC2EE7" w:rsidRDefault="00776133" w:rsidP="0077613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69D2E85F" w14:textId="77777777" w:rsidR="00776133" w:rsidRPr="00BC2EE7" w:rsidRDefault="00776133" w:rsidP="00776133">
            <w:pPr>
              <w:rPr>
                <w:sz w:val="20"/>
                <w:szCs w:val="20"/>
              </w:rPr>
            </w:pPr>
          </w:p>
        </w:tc>
      </w:tr>
      <w:tr w:rsidR="00776133" w:rsidRPr="00BC2EE7" w14:paraId="29B6FBFF" w14:textId="77777777" w:rsidTr="00776133">
        <w:tc>
          <w:tcPr>
            <w:tcW w:w="1496" w:type="dxa"/>
            <w:shd w:val="clear" w:color="auto" w:fill="D9E2F3" w:themeFill="accent1" w:themeFillTint="33"/>
          </w:tcPr>
          <w:p w14:paraId="72C21164" w14:textId="6C074ADB" w:rsidR="00776133" w:rsidRDefault="00776133" w:rsidP="00776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Primary Driver</w:t>
            </w:r>
          </w:p>
        </w:tc>
        <w:tc>
          <w:tcPr>
            <w:tcW w:w="2575" w:type="dxa"/>
            <w:shd w:val="clear" w:color="auto" w:fill="D9E2F3" w:themeFill="accent1" w:themeFillTint="33"/>
          </w:tcPr>
          <w:p w14:paraId="6427EC5B" w14:textId="77777777" w:rsidR="00776133" w:rsidRDefault="00776133" w:rsidP="00776133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Intervention</w:t>
            </w:r>
          </w:p>
          <w:p w14:paraId="1A222EA1" w14:textId="6AA34B41" w:rsidR="00776133" w:rsidRPr="00012FD7" w:rsidRDefault="00776133" w:rsidP="00776133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/Measure</w:t>
            </w:r>
          </w:p>
        </w:tc>
        <w:tc>
          <w:tcPr>
            <w:tcW w:w="3615" w:type="dxa"/>
            <w:shd w:val="clear" w:color="auto" w:fill="D9E2F3" w:themeFill="accent1" w:themeFillTint="33"/>
          </w:tcPr>
          <w:p w14:paraId="2C638F5C" w14:textId="158AE18B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Activities</w:t>
            </w:r>
          </w:p>
        </w:tc>
        <w:tc>
          <w:tcPr>
            <w:tcW w:w="3965" w:type="dxa"/>
            <w:shd w:val="clear" w:color="auto" w:fill="D9E2F3" w:themeFill="accent1" w:themeFillTint="33"/>
          </w:tcPr>
          <w:p w14:paraId="027F9118" w14:textId="0BFB5EAD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 xml:space="preserve">Our </w:t>
            </w:r>
            <w:r>
              <w:rPr>
                <w:b/>
                <w:sz w:val="20"/>
                <w:szCs w:val="20"/>
              </w:rPr>
              <w:t>Plan Notes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72EE02EF" w14:textId="456BC9C5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Our Tentative Due Date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345" w:type="dxa"/>
            <w:shd w:val="clear" w:color="auto" w:fill="D9E2F3" w:themeFill="accent1" w:themeFillTint="33"/>
          </w:tcPr>
          <w:p w14:paraId="2FF37407" w14:textId="532869E0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Responsible Part</w:t>
            </w:r>
            <w:r>
              <w:rPr>
                <w:b/>
                <w:sz w:val="20"/>
                <w:szCs w:val="20"/>
              </w:rPr>
              <w:t>ies</w:t>
            </w:r>
          </w:p>
        </w:tc>
      </w:tr>
      <w:tr w:rsidR="00776133" w:rsidRPr="00BC2EE7" w14:paraId="5BF0B175" w14:textId="77777777" w:rsidTr="00CF6927">
        <w:tc>
          <w:tcPr>
            <w:tcW w:w="1496" w:type="dxa"/>
            <w:shd w:val="clear" w:color="auto" w:fill="FFF2CC" w:themeFill="accent4" w:themeFillTint="33"/>
            <w:vAlign w:val="center"/>
          </w:tcPr>
          <w:p w14:paraId="559A5FEE" w14:textId="2278BC51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Standard, evidence-based responses to labor challenges in active and second stage of labor</w:t>
            </w:r>
          </w:p>
        </w:tc>
        <w:tc>
          <w:tcPr>
            <w:tcW w:w="2575" w:type="dxa"/>
          </w:tcPr>
          <w:p w14:paraId="2445CF74" w14:textId="7077FBFF" w:rsidR="00776133" w:rsidRDefault="00776133" w:rsidP="00776133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>V</w:t>
            </w: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>.</w:t>
            </w:r>
            <w:r>
              <w:rPr>
                <w:rFonts w:ascii="Calibri" w:eastAsia="Calibri" w:hAnsi="Calibr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Reduce percent of NTSV cesareans with induction where </w:t>
            </w:r>
            <w:r w:rsidRPr="00012FD7">
              <w:rPr>
                <w:rFonts w:ascii="Calibri" w:eastAsia="Calibri" w:hAnsi="Calibri"/>
                <w:b/>
                <w:sz w:val="20"/>
                <w:szCs w:val="20"/>
              </w:rPr>
              <w:t>recommended criteria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are not met at: </w:t>
            </w:r>
          </w:p>
          <w:p w14:paraId="460B4C97" w14:textId="77777777" w:rsidR="00776133" w:rsidRDefault="00776133" w:rsidP="00776133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641A2CD1" w14:textId="69BA45EC" w:rsidR="00776133" w:rsidRDefault="00776133" w:rsidP="00CF6927">
            <w:pPr>
              <w:spacing w:line="276" w:lineRule="auto"/>
              <w:ind w:left="720"/>
              <w:rPr>
                <w:rFonts w:ascii="Calibri" w:eastAsia="Calibri" w:hAnsi="Calibri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b.)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6 – 9 cm; </w:t>
            </w:r>
          </w:p>
          <w:p w14:paraId="2A19547D" w14:textId="77777777" w:rsidR="00CF6927" w:rsidRDefault="00CF6927" w:rsidP="00CF6927">
            <w:pPr>
              <w:spacing w:line="276" w:lineRule="auto"/>
              <w:ind w:left="720"/>
              <w:rPr>
                <w:rFonts w:ascii="Calibri" w:eastAsia="Calibri" w:hAnsi="Calibri"/>
                <w:sz w:val="20"/>
                <w:szCs w:val="20"/>
              </w:rPr>
            </w:pPr>
          </w:p>
          <w:p w14:paraId="1E5F140A" w14:textId="5B362EBB" w:rsidR="00776133" w:rsidRPr="00012FD7" w:rsidRDefault="00776133" w:rsidP="00CF6927">
            <w:pPr>
              <w:spacing w:after="200" w:line="276" w:lineRule="auto"/>
              <w:ind w:left="720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 w:rsidRPr="00776133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c.) </w:t>
            </w:r>
            <w:r>
              <w:rPr>
                <w:rFonts w:ascii="Calibri" w:eastAsia="Calibri" w:hAnsi="Calibri"/>
                <w:sz w:val="20"/>
                <w:szCs w:val="20"/>
              </w:rPr>
              <w:t>10 cm</w:t>
            </w:r>
          </w:p>
        </w:tc>
        <w:tc>
          <w:tcPr>
            <w:tcW w:w="3615" w:type="dxa"/>
          </w:tcPr>
          <w:p w14:paraId="7D85F198" w14:textId="77777777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educate care providers and staff on evidence-based recommended management, practices, and dystocia definitions for latent, active, and second stages of labor. To include:</w:t>
            </w:r>
          </w:p>
          <w:p w14:paraId="0478DF1C" w14:textId="77777777" w:rsidR="00776133" w:rsidRDefault="00776133" w:rsidP="007761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uterine activity, oxytocin, and AROM</w:t>
            </w:r>
          </w:p>
          <w:p w14:paraId="2C13E3A1" w14:textId="77777777" w:rsidR="00776133" w:rsidRDefault="00776133" w:rsidP="007761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Pushing time with and without epidural analgesia </w:t>
            </w:r>
          </w:p>
          <w:p w14:paraId="121062A5" w14:textId="77777777" w:rsidR="00776133" w:rsidRDefault="00776133" w:rsidP="007761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Algorithms and pre-cesarean checklists</w:t>
            </w:r>
          </w:p>
          <w:p w14:paraId="19A50E8A" w14:textId="77777777" w:rsidR="00776133" w:rsidRDefault="00776133" w:rsidP="00776133">
            <w:pPr>
              <w:rPr>
                <w:sz w:val="20"/>
                <w:szCs w:val="20"/>
              </w:rPr>
            </w:pPr>
          </w:p>
          <w:p w14:paraId="409090A9" w14:textId="6C2B7941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PDSA cycles and case reviews focusing on one labor stage at a time. </w:t>
            </w:r>
          </w:p>
        </w:tc>
        <w:tc>
          <w:tcPr>
            <w:tcW w:w="3965" w:type="dxa"/>
          </w:tcPr>
          <w:p w14:paraId="050A72BF" w14:textId="5AD7AA7F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CE0CA92" w14:textId="1EB4BBF5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56C8444A" w14:textId="169B561C" w:rsidR="00776133" w:rsidRPr="00BC2EE7" w:rsidRDefault="00776133" w:rsidP="00776133">
            <w:pPr>
              <w:jc w:val="center"/>
              <w:rPr>
                <w:sz w:val="20"/>
                <w:szCs w:val="20"/>
              </w:rPr>
            </w:pPr>
          </w:p>
        </w:tc>
      </w:tr>
      <w:tr w:rsidR="00776133" w:rsidRPr="00BC2EE7" w14:paraId="41E84D8E" w14:textId="77777777" w:rsidTr="00CF6927">
        <w:tc>
          <w:tcPr>
            <w:tcW w:w="1496" w:type="dxa"/>
            <w:shd w:val="clear" w:color="auto" w:fill="FFF2CC" w:themeFill="accent4" w:themeFillTint="33"/>
          </w:tcPr>
          <w:p w14:paraId="7DACA069" w14:textId="77777777" w:rsidR="00776133" w:rsidRPr="009B6D40" w:rsidRDefault="00776133" w:rsidP="0077613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Standard, evidence-based responses to labor challenges in latent, active, and second stage of labor</w:t>
            </w:r>
          </w:p>
          <w:p w14:paraId="623D0090" w14:textId="653DF89E" w:rsidR="00776133" w:rsidRPr="009B6D40" w:rsidRDefault="00776133" w:rsidP="0077613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5C814497" w14:textId="4A2A73D0" w:rsidR="00776133" w:rsidRPr="00690F3E" w:rsidRDefault="00776133" w:rsidP="00776133">
            <w:pPr>
              <w:spacing w:line="276" w:lineRule="auto"/>
              <w:rPr>
                <w:sz w:val="24"/>
                <w:szCs w:val="24"/>
              </w:rPr>
            </w:pPr>
            <w:r w:rsidRPr="00CF6927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>VI</w:t>
            </w:r>
            <w:r w:rsidRPr="00CF6927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Use labor dystocia/pre-cesarean </w:t>
            </w:r>
            <w:r w:rsidRPr="00012FD7">
              <w:rPr>
                <w:rFonts w:ascii="Calibri" w:eastAsia="Calibri" w:hAnsi="Calibri"/>
                <w:b/>
                <w:sz w:val="20"/>
                <w:szCs w:val="20"/>
              </w:rPr>
              <w:t>checklist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with team members intrapartum and/or as debrief tool</w:t>
            </w:r>
          </w:p>
        </w:tc>
        <w:tc>
          <w:tcPr>
            <w:tcW w:w="3615" w:type="dxa"/>
          </w:tcPr>
          <w:p w14:paraId="60C2FD82" w14:textId="77777777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with your team to determine roles and responsibilities related to:</w:t>
            </w:r>
          </w:p>
          <w:p w14:paraId="33845D16" w14:textId="77777777" w:rsidR="00776133" w:rsidRDefault="00776133" w:rsidP="00776133">
            <w:pPr>
              <w:rPr>
                <w:sz w:val="20"/>
                <w:szCs w:val="20"/>
              </w:rPr>
            </w:pPr>
          </w:p>
          <w:p w14:paraId="77F3EE4E" w14:textId="77777777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Adopt or adapt a communication tool for use as an inter-disciplinary intrapartum pre-cesarean huddle in non-emergency cases. Could also be used as a debrief tool.</w:t>
            </w:r>
          </w:p>
          <w:p w14:paraId="640A13F4" w14:textId="77777777" w:rsidR="00776133" w:rsidRDefault="00776133" w:rsidP="00776133">
            <w:pPr>
              <w:rPr>
                <w:sz w:val="20"/>
                <w:szCs w:val="20"/>
              </w:rPr>
            </w:pPr>
          </w:p>
          <w:p w14:paraId="71AC6DF3" w14:textId="77777777" w:rsidR="00776133" w:rsidRDefault="00776133" w:rsidP="0077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use of the tool (conduct a PDSA cycle), solicit feedback, and implement routine use of the tool.</w:t>
            </w:r>
          </w:p>
          <w:p w14:paraId="70D29F74" w14:textId="1514F9E2" w:rsidR="00776133" w:rsidRPr="00842E94" w:rsidRDefault="00776133" w:rsidP="00776133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</w:tcPr>
          <w:p w14:paraId="5B3C1E73" w14:textId="77777777" w:rsidR="00776133" w:rsidRPr="00BC2EE7" w:rsidRDefault="00776133" w:rsidP="00776133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2C68FE9D" w14:textId="77777777" w:rsidR="00776133" w:rsidRPr="00BC2EE7" w:rsidRDefault="00776133" w:rsidP="0077613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52FCA8E5" w14:textId="77777777" w:rsidR="00776133" w:rsidRPr="00BC2EE7" w:rsidRDefault="00776133" w:rsidP="00776133">
            <w:pPr>
              <w:rPr>
                <w:sz w:val="20"/>
                <w:szCs w:val="20"/>
              </w:rPr>
            </w:pPr>
          </w:p>
        </w:tc>
      </w:tr>
      <w:tr w:rsidR="00CF6927" w:rsidRPr="00BC2EE7" w14:paraId="6CC790D6" w14:textId="77777777" w:rsidTr="00CF6927">
        <w:tc>
          <w:tcPr>
            <w:tcW w:w="1496" w:type="dxa"/>
            <w:shd w:val="clear" w:color="auto" w:fill="D9E2F3" w:themeFill="accent1" w:themeFillTint="33"/>
          </w:tcPr>
          <w:p w14:paraId="756F5C30" w14:textId="3F0C45D9" w:rsidR="00CF6927" w:rsidRPr="00BC2EE7" w:rsidRDefault="00CF6927" w:rsidP="00CF692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  <w:r w:rsidRPr="00BC2EE7">
              <w:rPr>
                <w:b/>
                <w:sz w:val="20"/>
                <w:szCs w:val="20"/>
              </w:rPr>
              <w:t>Driver</w:t>
            </w:r>
          </w:p>
        </w:tc>
        <w:tc>
          <w:tcPr>
            <w:tcW w:w="2575" w:type="dxa"/>
            <w:shd w:val="clear" w:color="auto" w:fill="D9E2F3" w:themeFill="accent1" w:themeFillTint="33"/>
          </w:tcPr>
          <w:p w14:paraId="2B1AC143" w14:textId="77777777" w:rsidR="00CF6927" w:rsidRDefault="00CF6927" w:rsidP="00CF6927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Intervention</w:t>
            </w:r>
          </w:p>
          <w:p w14:paraId="4C30891C" w14:textId="3C74ECA6" w:rsidR="00CF6927" w:rsidRPr="00BC2EE7" w:rsidRDefault="00CF6927" w:rsidP="00CF69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/Measure</w:t>
            </w:r>
          </w:p>
        </w:tc>
        <w:tc>
          <w:tcPr>
            <w:tcW w:w="3615" w:type="dxa"/>
            <w:shd w:val="clear" w:color="auto" w:fill="D9E2F3" w:themeFill="accent1" w:themeFillTint="33"/>
          </w:tcPr>
          <w:p w14:paraId="7D08D1C2" w14:textId="6CA776D1" w:rsidR="00CF6927" w:rsidRDefault="00CF6927" w:rsidP="00CF69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Activities</w:t>
            </w:r>
          </w:p>
        </w:tc>
        <w:tc>
          <w:tcPr>
            <w:tcW w:w="3965" w:type="dxa"/>
            <w:shd w:val="clear" w:color="auto" w:fill="D9E2F3" w:themeFill="accent1" w:themeFillTint="33"/>
          </w:tcPr>
          <w:p w14:paraId="5663F078" w14:textId="6F8619F2" w:rsidR="00CF6927" w:rsidRPr="00BC2EE7" w:rsidRDefault="00CF6927" w:rsidP="00CF6927">
            <w:pPr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 xml:space="preserve">Our </w:t>
            </w:r>
            <w:r>
              <w:rPr>
                <w:b/>
                <w:sz w:val="20"/>
                <w:szCs w:val="20"/>
              </w:rPr>
              <w:t>Plan Notes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530D0223" w14:textId="069E5A05" w:rsidR="00CF6927" w:rsidRPr="00BC2EE7" w:rsidRDefault="00CF6927" w:rsidP="00CF6927">
            <w:pPr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Our Tentative Due Date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345" w:type="dxa"/>
            <w:shd w:val="clear" w:color="auto" w:fill="D9E2F3" w:themeFill="accent1" w:themeFillTint="33"/>
          </w:tcPr>
          <w:p w14:paraId="3517CAB0" w14:textId="03F02419" w:rsidR="00CF6927" w:rsidRPr="00BC2EE7" w:rsidRDefault="00CF6927" w:rsidP="00CF6927">
            <w:pPr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Responsible Part</w:t>
            </w:r>
            <w:r>
              <w:rPr>
                <w:b/>
                <w:sz w:val="20"/>
                <w:szCs w:val="20"/>
              </w:rPr>
              <w:t>ies</w:t>
            </w:r>
          </w:p>
        </w:tc>
      </w:tr>
      <w:tr w:rsidR="00CF6927" w:rsidRPr="00BC2EE7" w14:paraId="28A32DB9" w14:textId="77777777" w:rsidTr="00776133">
        <w:tc>
          <w:tcPr>
            <w:tcW w:w="1496" w:type="dxa"/>
            <w:vMerge w:val="restart"/>
            <w:shd w:val="clear" w:color="auto" w:fill="D9D9D9" w:themeFill="background1" w:themeFillShade="D9"/>
            <w:vAlign w:val="center"/>
          </w:tcPr>
          <w:p w14:paraId="120BFDDE" w14:textId="0A097762" w:rsidR="00CF6927" w:rsidRPr="00BC2EE7" w:rsidRDefault="00CF6927" w:rsidP="00CF692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Track, report, and review to </w:t>
            </w:r>
            <w:r>
              <w:rPr>
                <w:rFonts w:ascii="Calibri" w:eastAsia="Calibri" w:hAnsi="Calibri"/>
                <w:sz w:val="20"/>
                <w:szCs w:val="20"/>
              </w:rPr>
              <w:lastRenderedPageBreak/>
              <w:t>monitor progress</w:t>
            </w:r>
          </w:p>
        </w:tc>
        <w:tc>
          <w:tcPr>
            <w:tcW w:w="2575" w:type="dxa"/>
          </w:tcPr>
          <w:p w14:paraId="7116F966" w14:textId="3FAA92CA" w:rsidR="00CF6927" w:rsidRPr="00012FD7" w:rsidRDefault="00CF6927" w:rsidP="00CF6927">
            <w:pPr>
              <w:spacing w:line="276" w:lineRule="auto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 w:rsidRPr="00CF6927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lastRenderedPageBreak/>
              <w:t>VII.</w:t>
            </w:r>
            <w:r w:rsidRPr="00CF6927">
              <w:rPr>
                <w:rFonts w:ascii="Calibri" w:eastAsia="Calibri" w:hAnsi="Calibri"/>
                <w:color w:val="ED7D31" w:themeColor="accent2"/>
                <w:sz w:val="20"/>
                <w:szCs w:val="20"/>
              </w:rPr>
              <w:t xml:space="preserve"> </w:t>
            </w:r>
            <w:r w:rsidRPr="00012FD7">
              <w:rPr>
                <w:rFonts w:ascii="Calibri" w:eastAsia="Calibri" w:hAnsi="Calibri"/>
                <w:sz w:val="20"/>
                <w:szCs w:val="20"/>
              </w:rPr>
              <w:t>Quality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review meetings to conduct 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case reviews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/>
                <w:sz w:val="20"/>
                <w:szCs w:val="20"/>
              </w:rPr>
              <w:lastRenderedPageBreak/>
              <w:t>review initiative data and progress, and/or review provider-specific rates</w:t>
            </w:r>
          </w:p>
        </w:tc>
        <w:tc>
          <w:tcPr>
            <w:tcW w:w="3615" w:type="dxa"/>
          </w:tcPr>
          <w:p w14:paraId="136501A8" w14:textId="77777777" w:rsidR="00CF6927" w:rsidRDefault="00CF6927" w:rsidP="00CF6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Establish regular review process with times/dates and expectations for participation. </w:t>
            </w:r>
          </w:p>
          <w:p w14:paraId="24FD4DD8" w14:textId="77777777" w:rsidR="00CF6927" w:rsidRDefault="00CF6927" w:rsidP="00CF6927">
            <w:pPr>
              <w:rPr>
                <w:sz w:val="20"/>
                <w:szCs w:val="20"/>
              </w:rPr>
            </w:pPr>
          </w:p>
          <w:p w14:paraId="24A019B5" w14:textId="77777777" w:rsidR="00CF6927" w:rsidRDefault="00CF6927" w:rsidP="00CF6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Randomly review your data audit cases to discuss reasons for fall outs and improve processes.</w:t>
            </w:r>
          </w:p>
          <w:p w14:paraId="2D06FE1C" w14:textId="77777777" w:rsidR="00CF6927" w:rsidRDefault="00CF6927" w:rsidP="00CF6927">
            <w:pPr>
              <w:rPr>
                <w:sz w:val="20"/>
                <w:szCs w:val="20"/>
              </w:rPr>
            </w:pPr>
          </w:p>
          <w:p w14:paraId="196AB066" w14:textId="004F4B59" w:rsidR="00CF6927" w:rsidRDefault="00CF6927" w:rsidP="00CF6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Determine how provider rates will be shared, with the goal of transparency at some point. </w:t>
            </w:r>
          </w:p>
        </w:tc>
        <w:tc>
          <w:tcPr>
            <w:tcW w:w="3965" w:type="dxa"/>
          </w:tcPr>
          <w:p w14:paraId="2CFDF3BA" w14:textId="7D0A3A45" w:rsidR="00CF6927" w:rsidRPr="00BC2EE7" w:rsidRDefault="00CF6927" w:rsidP="00CF6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257BE2AA" w14:textId="0C6A57F7" w:rsidR="00CF6927" w:rsidRPr="00BC2EE7" w:rsidRDefault="00CF6927" w:rsidP="00CF6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1CB36129" w14:textId="66BD59FF" w:rsidR="00CF6927" w:rsidRPr="00BC2EE7" w:rsidRDefault="00CF6927" w:rsidP="00CF6927">
            <w:pPr>
              <w:jc w:val="center"/>
              <w:rPr>
                <w:sz w:val="20"/>
                <w:szCs w:val="20"/>
              </w:rPr>
            </w:pPr>
          </w:p>
        </w:tc>
      </w:tr>
      <w:tr w:rsidR="00CF6927" w:rsidRPr="00BC2EE7" w14:paraId="254F3C05" w14:textId="77777777" w:rsidTr="00776133">
        <w:tc>
          <w:tcPr>
            <w:tcW w:w="1496" w:type="dxa"/>
            <w:vMerge/>
            <w:shd w:val="clear" w:color="auto" w:fill="D9D9D9" w:themeFill="background1" w:themeFillShade="D9"/>
            <w:vAlign w:val="center"/>
          </w:tcPr>
          <w:p w14:paraId="2008D04A" w14:textId="4F565D75" w:rsidR="00CF6927" w:rsidRPr="00690F3E" w:rsidRDefault="00CF6927" w:rsidP="00CF692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0D2B7B55" w14:textId="2C792983" w:rsidR="00CF6927" w:rsidRPr="00690F3E" w:rsidRDefault="00CF6927" w:rsidP="00CF6927">
            <w:pPr>
              <w:spacing w:after="200" w:line="276" w:lineRule="auto"/>
              <w:rPr>
                <w:sz w:val="24"/>
                <w:szCs w:val="24"/>
              </w:rPr>
            </w:pPr>
            <w:r w:rsidRPr="00CF6927"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  <w:t xml:space="preserve">VIII.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Integrate order sets, protocols, and documentation for the safe reduction of primary cesareans into your hospital’s 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EHR system</w:t>
            </w:r>
          </w:p>
        </w:tc>
        <w:tc>
          <w:tcPr>
            <w:tcW w:w="3615" w:type="dxa"/>
          </w:tcPr>
          <w:p w14:paraId="376F3D58" w14:textId="77777777" w:rsidR="00CF6927" w:rsidRDefault="00CF6927" w:rsidP="00CF6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Enlist electronic health records team and administrators </w:t>
            </w:r>
            <w:proofErr w:type="gramStart"/>
            <w:r>
              <w:rPr>
                <w:sz w:val="20"/>
                <w:szCs w:val="20"/>
              </w:rPr>
              <w:t>early on in the</w:t>
            </w:r>
            <w:proofErr w:type="gramEnd"/>
            <w:r>
              <w:rPr>
                <w:sz w:val="20"/>
                <w:szCs w:val="20"/>
              </w:rPr>
              <w:t xml:space="preserve"> process to ensure needed components are incorporated. </w:t>
            </w:r>
          </w:p>
          <w:p w14:paraId="41912A57" w14:textId="77777777" w:rsidR="00CF6927" w:rsidRDefault="00CF6927" w:rsidP="00CF6927">
            <w:pPr>
              <w:rPr>
                <w:sz w:val="20"/>
                <w:szCs w:val="20"/>
              </w:rPr>
            </w:pPr>
          </w:p>
          <w:p w14:paraId="1B252B17" w14:textId="79122F7B" w:rsidR="00CF6927" w:rsidRPr="00BC2EE7" w:rsidRDefault="00CF6927" w:rsidP="00CF6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Determine person responsible for ensuring changes are tested and made. Create list of needed documentation and report additions. </w:t>
            </w:r>
          </w:p>
        </w:tc>
        <w:tc>
          <w:tcPr>
            <w:tcW w:w="3965" w:type="dxa"/>
          </w:tcPr>
          <w:p w14:paraId="7BF2BF0F" w14:textId="77777777" w:rsidR="00CF6927" w:rsidRPr="00BC2EE7" w:rsidRDefault="00CF6927" w:rsidP="00CF6927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2A989B03" w14:textId="77777777" w:rsidR="00CF6927" w:rsidRPr="00BC2EE7" w:rsidRDefault="00CF6927" w:rsidP="00CF692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3B7F7F9B" w14:textId="77777777" w:rsidR="00CF6927" w:rsidRPr="00BC2EE7" w:rsidRDefault="00CF6927" w:rsidP="00CF6927">
            <w:pPr>
              <w:rPr>
                <w:sz w:val="20"/>
                <w:szCs w:val="20"/>
              </w:rPr>
            </w:pPr>
          </w:p>
        </w:tc>
      </w:tr>
    </w:tbl>
    <w:p w14:paraId="4C93FF06" w14:textId="2D3C877C" w:rsidR="00BC2EE7" w:rsidRDefault="00944EE4" w:rsidP="00BC2EE7">
      <w:r>
        <w:br w:type="textWrapping" w:clear="all"/>
      </w:r>
    </w:p>
    <w:sectPr w:rsidR="00BC2EE7" w:rsidSect="0040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D9342" w14:textId="77777777" w:rsidR="00F01B87" w:rsidRDefault="00F01B87" w:rsidP="006D4011">
      <w:pPr>
        <w:spacing w:after="0" w:line="240" w:lineRule="auto"/>
      </w:pPr>
      <w:r>
        <w:separator/>
      </w:r>
    </w:p>
  </w:endnote>
  <w:endnote w:type="continuationSeparator" w:id="0">
    <w:p w14:paraId="1499B927" w14:textId="77777777" w:rsidR="00F01B87" w:rsidRDefault="00F01B87" w:rsidP="006D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A6752" w14:textId="77777777" w:rsidR="006865B7" w:rsidRDefault="00686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905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8F2A6" w14:textId="440EB65A" w:rsidR="006D4011" w:rsidRDefault="00A76CFA" w:rsidP="00A76CFA">
        <w:pPr>
          <w:pStyle w:val="Footer"/>
        </w:pPr>
        <w:r>
          <w:t xml:space="preserve">Page </w:t>
        </w:r>
        <w:r w:rsidR="006D4011">
          <w:fldChar w:fldCharType="begin"/>
        </w:r>
        <w:r w:rsidR="006D4011">
          <w:instrText xml:space="preserve"> PAGE   \* MERGEFORMAT </w:instrText>
        </w:r>
        <w:r w:rsidR="006D4011">
          <w:fldChar w:fldCharType="separate"/>
        </w:r>
        <w:r w:rsidR="006D4011">
          <w:rPr>
            <w:noProof/>
          </w:rPr>
          <w:t>2</w:t>
        </w:r>
        <w:r w:rsidR="006D4011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>v.</w:t>
        </w:r>
        <w:r w:rsidR="00CF6927">
          <w:rPr>
            <w:noProof/>
          </w:rPr>
          <w:t xml:space="preserve"> </w:t>
        </w:r>
        <w:r w:rsidR="00CF6927">
          <w:rPr>
            <w:noProof/>
          </w:rPr>
          <w:t>Nov</w:t>
        </w:r>
        <w:bookmarkStart w:id="0" w:name="_GoBack"/>
        <w:bookmarkEnd w:id="0"/>
        <w:r>
          <w:rPr>
            <w:noProof/>
          </w:rPr>
          <w:t xml:space="preserve"> 2019</w:t>
        </w:r>
      </w:p>
    </w:sdtContent>
  </w:sdt>
  <w:p w14:paraId="43C18580" w14:textId="77777777" w:rsidR="006D4011" w:rsidRDefault="006D4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E775" w14:textId="77777777" w:rsidR="006865B7" w:rsidRDefault="0068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B7BA5" w14:textId="77777777" w:rsidR="00F01B87" w:rsidRDefault="00F01B87" w:rsidP="006D4011">
      <w:pPr>
        <w:spacing w:after="0" w:line="240" w:lineRule="auto"/>
      </w:pPr>
      <w:r>
        <w:separator/>
      </w:r>
    </w:p>
  </w:footnote>
  <w:footnote w:type="continuationSeparator" w:id="0">
    <w:p w14:paraId="6A12D3E7" w14:textId="77777777" w:rsidR="00F01B87" w:rsidRDefault="00F01B87" w:rsidP="006D4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AF8FA" w14:textId="77777777" w:rsidR="006865B7" w:rsidRDefault="00686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8657" w14:textId="4CD1011F" w:rsidR="00401964" w:rsidRPr="006865B7" w:rsidRDefault="00401964" w:rsidP="00401964">
    <w:pPr>
      <w:pStyle w:val="Header"/>
      <w:rPr>
        <w:i/>
        <w:color w:val="D0CECE" w:themeColor="background2" w:themeShade="E6"/>
      </w:rPr>
    </w:pPr>
    <w:r w:rsidRPr="006865B7">
      <w:rPr>
        <w:i/>
        <w:color w:val="D0CECE" w:themeColor="background2" w:themeShade="E6"/>
      </w:rPr>
      <w:t>PROVIDE Implementation Planning Tool</w:t>
    </w:r>
    <w:r w:rsidRPr="006865B7">
      <w:rPr>
        <w:i/>
        <w:color w:val="D0CECE" w:themeColor="background2" w:themeShade="E6"/>
      </w:rPr>
      <w:tab/>
    </w:r>
    <w:r w:rsidRPr="006865B7">
      <w:rPr>
        <w:i/>
        <w:color w:val="D0CECE" w:themeColor="background2" w:themeShade="E6"/>
      </w:rPr>
      <w:tab/>
    </w:r>
    <w:r w:rsidRPr="006865B7">
      <w:rPr>
        <w:i/>
        <w:color w:val="D0CECE" w:themeColor="background2" w:themeShade="E6"/>
      </w:rPr>
      <w:tab/>
    </w:r>
    <w:r w:rsidRPr="006865B7">
      <w:rPr>
        <w:i/>
        <w:color w:val="D0CECE" w:themeColor="background2" w:themeShade="E6"/>
      </w:rPr>
      <w:tab/>
    </w:r>
    <w:r w:rsidRPr="006865B7">
      <w:rPr>
        <w:i/>
        <w:color w:val="D0CECE" w:themeColor="background2" w:themeShade="E6"/>
      </w:rPr>
      <w:tab/>
      <w:t>INDUCTION FOCUS AREA</w:t>
    </w:r>
  </w:p>
  <w:p w14:paraId="0924DAC1" w14:textId="77777777" w:rsidR="00944EE4" w:rsidRPr="006865B7" w:rsidRDefault="00944EE4" w:rsidP="00401964">
    <w:pPr>
      <w:pStyle w:val="Header"/>
      <w:rPr>
        <w:i/>
        <w:color w:val="D0CECE" w:themeColor="background2" w:themeShade="E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0B5BE" w14:textId="77777777" w:rsidR="006865B7" w:rsidRDefault="00686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83B"/>
    <w:multiLevelType w:val="hybridMultilevel"/>
    <w:tmpl w:val="43FEBD02"/>
    <w:lvl w:ilvl="0" w:tplc="5D5A9E6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920ED"/>
    <w:multiLevelType w:val="hybridMultilevel"/>
    <w:tmpl w:val="CA549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57461"/>
    <w:multiLevelType w:val="hybridMultilevel"/>
    <w:tmpl w:val="DDA6C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01CC1"/>
    <w:multiLevelType w:val="hybridMultilevel"/>
    <w:tmpl w:val="B49AE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E7"/>
    <w:rsid w:val="00066E03"/>
    <w:rsid w:val="000C53FA"/>
    <w:rsid w:val="000D29C6"/>
    <w:rsid w:val="000F27AB"/>
    <w:rsid w:val="0026276C"/>
    <w:rsid w:val="00305E18"/>
    <w:rsid w:val="003107AE"/>
    <w:rsid w:val="00401964"/>
    <w:rsid w:val="00574B14"/>
    <w:rsid w:val="00597679"/>
    <w:rsid w:val="00644619"/>
    <w:rsid w:val="006865B7"/>
    <w:rsid w:val="00690F3E"/>
    <w:rsid w:val="006A0EC3"/>
    <w:rsid w:val="006D4011"/>
    <w:rsid w:val="006E71CE"/>
    <w:rsid w:val="00717C36"/>
    <w:rsid w:val="00776133"/>
    <w:rsid w:val="007B1041"/>
    <w:rsid w:val="007E0AE7"/>
    <w:rsid w:val="00842E94"/>
    <w:rsid w:val="00882885"/>
    <w:rsid w:val="009118EC"/>
    <w:rsid w:val="00944EE4"/>
    <w:rsid w:val="00975491"/>
    <w:rsid w:val="009B6D40"/>
    <w:rsid w:val="00A13F72"/>
    <w:rsid w:val="00A15899"/>
    <w:rsid w:val="00A16C9F"/>
    <w:rsid w:val="00A32EF3"/>
    <w:rsid w:val="00A76CFA"/>
    <w:rsid w:val="00A91110"/>
    <w:rsid w:val="00AE18AE"/>
    <w:rsid w:val="00BB638A"/>
    <w:rsid w:val="00BC2EE7"/>
    <w:rsid w:val="00BF6D81"/>
    <w:rsid w:val="00CF6927"/>
    <w:rsid w:val="00D45666"/>
    <w:rsid w:val="00D708C6"/>
    <w:rsid w:val="00DE2BFD"/>
    <w:rsid w:val="00DE4FFE"/>
    <w:rsid w:val="00DF65CC"/>
    <w:rsid w:val="00F01B87"/>
    <w:rsid w:val="00F2054C"/>
    <w:rsid w:val="00F3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1DFC"/>
  <w15:chartTrackingRefBased/>
  <w15:docId w15:val="{D8440FB2-5849-4A91-A37C-C5336E39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11"/>
  </w:style>
  <w:style w:type="paragraph" w:styleId="Footer">
    <w:name w:val="footer"/>
    <w:basedOn w:val="Normal"/>
    <w:link w:val="FooterChar"/>
    <w:uiPriority w:val="99"/>
    <w:unhideWhenUsed/>
    <w:rsid w:val="006D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11"/>
  </w:style>
  <w:style w:type="paragraph" w:styleId="BalloonText">
    <w:name w:val="Balloon Text"/>
    <w:basedOn w:val="Normal"/>
    <w:link w:val="BalloonTextChar"/>
    <w:uiPriority w:val="99"/>
    <w:semiHidden/>
    <w:unhideWhenUsed/>
    <w:rsid w:val="00DE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Bronson, Emily</dc:creator>
  <cp:keywords/>
  <dc:description/>
  <cp:lastModifiedBy>Bronson, Emily</cp:lastModifiedBy>
  <cp:revision>4</cp:revision>
  <cp:lastPrinted>2019-10-15T20:30:00Z</cp:lastPrinted>
  <dcterms:created xsi:type="dcterms:W3CDTF">2019-11-12T19:17:00Z</dcterms:created>
  <dcterms:modified xsi:type="dcterms:W3CDTF">2019-11-12T20:47:00Z</dcterms:modified>
</cp:coreProperties>
</file>