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83F" w:rsidRPr="00D3583F" w:rsidRDefault="00D3583F" w:rsidP="00D3583F">
      <w:pPr>
        <w:autoSpaceDE w:val="0"/>
        <w:autoSpaceDN w:val="0"/>
        <w:adjustRightInd w:val="0"/>
        <w:spacing w:after="0" w:line="240" w:lineRule="auto"/>
        <w:rPr>
          <w:rFonts w:asciiTheme="majorHAnsi" w:hAnsiTheme="majorHAnsi" w:cs="Arial"/>
          <w:b/>
          <w:color w:val="000000"/>
          <w:sz w:val="24"/>
          <w:szCs w:val="24"/>
        </w:rPr>
      </w:pPr>
      <w:r w:rsidRPr="00D3583F">
        <w:rPr>
          <w:rFonts w:asciiTheme="majorHAnsi" w:hAnsiTheme="majorHAnsi" w:cs="Arial"/>
          <w:b/>
          <w:color w:val="000000"/>
          <w:sz w:val="24"/>
          <w:szCs w:val="24"/>
        </w:rPr>
        <w:t xml:space="preserve">Breastfeeding Support: Nipple Shield Guidelines </w:t>
      </w:r>
    </w:p>
    <w:p w:rsidR="00D3583F" w:rsidRPr="00D3583F" w:rsidRDefault="00D3583F" w:rsidP="00D3583F">
      <w:pPr>
        <w:pStyle w:val="ListParagraph"/>
        <w:numPr>
          <w:ilvl w:val="0"/>
          <w:numId w:val="8"/>
        </w:numPr>
        <w:autoSpaceDE w:val="0"/>
        <w:autoSpaceDN w:val="0"/>
        <w:adjustRightInd w:val="0"/>
        <w:spacing w:after="0" w:line="240" w:lineRule="auto"/>
        <w:rPr>
          <w:rFonts w:asciiTheme="majorHAnsi" w:hAnsiTheme="majorHAnsi" w:cs="Arial"/>
          <w:color w:val="000000"/>
          <w:sz w:val="24"/>
          <w:szCs w:val="24"/>
        </w:rPr>
      </w:pPr>
      <w:r w:rsidRPr="00D3583F">
        <w:rPr>
          <w:rFonts w:asciiTheme="majorHAnsi" w:hAnsiTheme="majorHAnsi" w:cs="Arial"/>
          <w:color w:val="000000"/>
          <w:sz w:val="24"/>
          <w:szCs w:val="24"/>
        </w:rPr>
        <w:t>Purpose</w:t>
      </w:r>
    </w:p>
    <w:p w:rsidR="00D3583F" w:rsidRDefault="00D3583F" w:rsidP="00D3583F">
      <w:pPr>
        <w:autoSpaceDE w:val="0"/>
        <w:autoSpaceDN w:val="0"/>
        <w:adjustRightInd w:val="0"/>
        <w:spacing w:after="0" w:line="240" w:lineRule="auto"/>
        <w:ind w:left="360"/>
        <w:rPr>
          <w:rFonts w:asciiTheme="majorHAnsi" w:hAnsiTheme="majorHAnsi" w:cs="Arial"/>
          <w:color w:val="000000"/>
          <w:sz w:val="24"/>
          <w:szCs w:val="24"/>
        </w:rPr>
      </w:pPr>
      <w:proofErr w:type="gramStart"/>
      <w:r>
        <w:rPr>
          <w:rFonts w:asciiTheme="majorHAnsi" w:hAnsiTheme="majorHAnsi" w:cs="Arial"/>
          <w:color w:val="000000"/>
          <w:sz w:val="24"/>
          <w:szCs w:val="24"/>
        </w:rPr>
        <w:t>To provide guidelines for the use of nipple shields with infants at Tampa General Hospital.</w:t>
      </w:r>
      <w:proofErr w:type="gramEnd"/>
      <w:r>
        <w:rPr>
          <w:rFonts w:asciiTheme="majorHAnsi" w:hAnsiTheme="majorHAnsi" w:cs="Arial"/>
          <w:color w:val="000000"/>
          <w:sz w:val="24"/>
          <w:szCs w:val="24"/>
        </w:rPr>
        <w:t xml:space="preserve"> </w:t>
      </w:r>
      <w:r w:rsidR="00FC5F67">
        <w:rPr>
          <w:rFonts w:asciiTheme="majorHAnsi" w:hAnsiTheme="majorHAnsi" w:cs="Arial"/>
          <w:color w:val="000000"/>
          <w:sz w:val="24"/>
          <w:szCs w:val="24"/>
        </w:rPr>
        <w:t xml:space="preserve"> All infants requiring nipple shields should have a lactation consult and </w:t>
      </w:r>
    </w:p>
    <w:p w:rsidR="00D3583F" w:rsidRPr="00D3583F" w:rsidRDefault="00D3583F" w:rsidP="00D3583F">
      <w:pPr>
        <w:autoSpaceDE w:val="0"/>
        <w:autoSpaceDN w:val="0"/>
        <w:adjustRightInd w:val="0"/>
        <w:spacing w:after="0" w:line="240" w:lineRule="auto"/>
        <w:ind w:left="360"/>
        <w:rPr>
          <w:rFonts w:asciiTheme="majorHAnsi" w:hAnsiTheme="majorHAnsi" w:cs="Arial"/>
          <w:color w:val="000000"/>
          <w:sz w:val="24"/>
          <w:szCs w:val="24"/>
        </w:rPr>
      </w:pPr>
      <w:r w:rsidRPr="00D3583F">
        <w:rPr>
          <w:rFonts w:asciiTheme="majorHAnsi" w:hAnsiTheme="majorHAnsi" w:cs="Arial"/>
          <w:color w:val="000000"/>
          <w:sz w:val="24"/>
          <w:szCs w:val="24"/>
        </w:rPr>
        <w:t xml:space="preserve">Nipple shields can facilitate attachment </w:t>
      </w:r>
      <w:r>
        <w:rPr>
          <w:rFonts w:asciiTheme="majorHAnsi" w:hAnsiTheme="majorHAnsi" w:cs="Arial"/>
          <w:color w:val="000000"/>
          <w:sz w:val="24"/>
          <w:szCs w:val="24"/>
        </w:rPr>
        <w:t>of the infant to the breast in the following conditions:</w:t>
      </w:r>
    </w:p>
    <w:p w:rsidR="00D3583F" w:rsidRPr="00D3583F" w:rsidRDefault="00D3583F" w:rsidP="00D3583F">
      <w:pPr>
        <w:pStyle w:val="ListParagraph"/>
        <w:numPr>
          <w:ilvl w:val="0"/>
          <w:numId w:val="10"/>
        </w:numPr>
        <w:autoSpaceDE w:val="0"/>
        <w:autoSpaceDN w:val="0"/>
        <w:adjustRightInd w:val="0"/>
        <w:spacing w:after="0" w:line="240" w:lineRule="auto"/>
        <w:rPr>
          <w:rFonts w:asciiTheme="majorHAnsi" w:hAnsiTheme="majorHAnsi" w:cs="Arial"/>
          <w:color w:val="000000"/>
          <w:sz w:val="24"/>
          <w:szCs w:val="24"/>
        </w:rPr>
      </w:pPr>
      <w:r w:rsidRPr="00D3583F">
        <w:rPr>
          <w:rFonts w:asciiTheme="majorHAnsi" w:hAnsiTheme="majorHAnsi" w:cs="Arial"/>
          <w:color w:val="000000"/>
          <w:sz w:val="24"/>
          <w:szCs w:val="24"/>
        </w:rPr>
        <w:t xml:space="preserve">Preterm infants who constantly slip off the breast, preterm infants that fall asleep as soon as they are attached and are unable to maintain regular nutritive sucking. </w:t>
      </w:r>
    </w:p>
    <w:p w:rsidR="00D3583F" w:rsidRDefault="00D3583F" w:rsidP="00D3583F">
      <w:pPr>
        <w:pStyle w:val="ListParagraph"/>
        <w:numPr>
          <w:ilvl w:val="0"/>
          <w:numId w:val="10"/>
        </w:numPr>
        <w:autoSpaceDE w:val="0"/>
        <w:autoSpaceDN w:val="0"/>
        <w:adjustRightInd w:val="0"/>
        <w:spacing w:after="0" w:line="240" w:lineRule="auto"/>
        <w:rPr>
          <w:rFonts w:asciiTheme="majorHAnsi" w:hAnsiTheme="majorHAnsi" w:cs="Arial"/>
          <w:color w:val="000000"/>
          <w:sz w:val="24"/>
          <w:szCs w:val="24"/>
        </w:rPr>
      </w:pPr>
      <w:r w:rsidRPr="00D3583F">
        <w:rPr>
          <w:rFonts w:asciiTheme="majorHAnsi" w:hAnsiTheme="majorHAnsi" w:cs="Arial"/>
          <w:color w:val="000000"/>
          <w:sz w:val="24"/>
          <w:szCs w:val="24"/>
        </w:rPr>
        <w:t xml:space="preserve">Flat or inverted nipples with repeated failure to achieve attachment with an alert infant. </w:t>
      </w:r>
    </w:p>
    <w:p w:rsidR="00FC5F67" w:rsidRDefault="00D3583F" w:rsidP="00FC5F67">
      <w:pPr>
        <w:pStyle w:val="ListParagraph"/>
        <w:numPr>
          <w:ilvl w:val="0"/>
          <w:numId w:val="10"/>
        </w:numPr>
        <w:autoSpaceDE w:val="0"/>
        <w:autoSpaceDN w:val="0"/>
        <w:adjustRightInd w:val="0"/>
        <w:spacing w:after="0"/>
        <w:rPr>
          <w:rFonts w:asciiTheme="majorHAnsi" w:hAnsiTheme="majorHAnsi" w:cs="Arial"/>
          <w:color w:val="000000"/>
          <w:sz w:val="24"/>
          <w:szCs w:val="24"/>
        </w:rPr>
      </w:pPr>
      <w:r w:rsidRPr="00D3583F">
        <w:rPr>
          <w:rFonts w:asciiTheme="majorHAnsi" w:hAnsiTheme="majorHAnsi" w:cs="Arial" w:hint="eastAsia"/>
          <w:color w:val="000000"/>
          <w:sz w:val="24"/>
          <w:szCs w:val="24"/>
        </w:rPr>
        <w:t>To protect damaged nipples while healing (last resort before mom giving up)</w:t>
      </w:r>
      <w:r w:rsidR="007D60ED">
        <w:rPr>
          <w:rFonts w:asciiTheme="majorHAnsi" w:hAnsiTheme="majorHAnsi" w:cs="Arial"/>
          <w:color w:val="000000"/>
          <w:sz w:val="24"/>
          <w:szCs w:val="24"/>
        </w:rPr>
        <w:t>.</w:t>
      </w:r>
    </w:p>
    <w:p w:rsidR="00FC5F67" w:rsidRPr="00FC5F67" w:rsidRDefault="00FC5F67" w:rsidP="007D60ED">
      <w:pPr>
        <w:pStyle w:val="ListParagraph"/>
        <w:numPr>
          <w:ilvl w:val="0"/>
          <w:numId w:val="10"/>
        </w:numPr>
        <w:autoSpaceDE w:val="0"/>
        <w:autoSpaceDN w:val="0"/>
        <w:adjustRightInd w:val="0"/>
        <w:spacing w:after="0"/>
        <w:rPr>
          <w:rFonts w:asciiTheme="majorHAnsi" w:hAnsiTheme="majorHAnsi" w:cs="Arial"/>
          <w:color w:val="000000"/>
          <w:sz w:val="24"/>
          <w:szCs w:val="24"/>
        </w:rPr>
      </w:pPr>
      <w:r w:rsidRPr="00FC5F67">
        <w:rPr>
          <w:rFonts w:asciiTheme="majorHAnsi" w:hAnsiTheme="majorHAnsi" w:cs="Arial"/>
          <w:color w:val="000000"/>
          <w:sz w:val="24"/>
          <w:szCs w:val="24"/>
        </w:rPr>
        <w:t xml:space="preserve">All infants requiring a nipple shield should have lactation consult. </w:t>
      </w:r>
      <w:r w:rsidR="007D60ED" w:rsidRPr="007D60ED">
        <w:rPr>
          <w:rFonts w:asciiTheme="majorHAnsi" w:hAnsiTheme="majorHAnsi" w:cs="Arial"/>
          <w:color w:val="000000"/>
          <w:sz w:val="24"/>
          <w:szCs w:val="24"/>
        </w:rPr>
        <w:t>Rarely are nipple shields appropriate in the first 24 hours of attempting breastfeeding.</w:t>
      </w:r>
    </w:p>
    <w:p w:rsidR="00D3583F" w:rsidRPr="00D3583F" w:rsidRDefault="00D3583F" w:rsidP="00D3583F">
      <w:pPr>
        <w:autoSpaceDE w:val="0"/>
        <w:autoSpaceDN w:val="0"/>
        <w:adjustRightInd w:val="0"/>
        <w:spacing w:before="240" w:after="60" w:line="240" w:lineRule="auto"/>
        <w:outlineLvl w:val="2"/>
        <w:rPr>
          <w:rFonts w:asciiTheme="majorHAnsi" w:hAnsiTheme="majorHAnsi" w:cs="Arial"/>
          <w:color w:val="000000"/>
          <w:sz w:val="24"/>
          <w:szCs w:val="24"/>
        </w:rPr>
      </w:pPr>
      <w:r w:rsidRPr="00D3583F">
        <w:rPr>
          <w:rFonts w:asciiTheme="majorHAnsi" w:hAnsiTheme="majorHAnsi" w:cs="Arial"/>
          <w:b/>
          <w:bCs/>
          <w:color w:val="000000"/>
          <w:sz w:val="24"/>
          <w:szCs w:val="24"/>
        </w:rPr>
        <w:t xml:space="preserve">PROCEDURE </w:t>
      </w:r>
    </w:p>
    <w:p w:rsidR="00FC5F67" w:rsidRDefault="00D3583F" w:rsidP="00FC5F67">
      <w:pPr>
        <w:numPr>
          <w:ilvl w:val="0"/>
          <w:numId w:val="7"/>
        </w:numPr>
        <w:autoSpaceDE w:val="0"/>
        <w:autoSpaceDN w:val="0"/>
        <w:adjustRightInd w:val="0"/>
        <w:spacing w:after="0" w:line="240" w:lineRule="auto"/>
        <w:ind w:left="360" w:hanging="360"/>
        <w:rPr>
          <w:rFonts w:asciiTheme="majorHAnsi" w:hAnsiTheme="majorHAnsi" w:cs="Arial"/>
          <w:color w:val="000000"/>
          <w:sz w:val="24"/>
          <w:szCs w:val="24"/>
        </w:rPr>
      </w:pPr>
      <w:r w:rsidRPr="00D3583F">
        <w:rPr>
          <w:rFonts w:asciiTheme="majorHAnsi" w:hAnsiTheme="majorHAnsi" w:cs="Arial"/>
          <w:color w:val="000000"/>
          <w:sz w:val="24"/>
          <w:szCs w:val="24"/>
        </w:rPr>
        <w:t xml:space="preserve">Ensure mother has an adequate milk supply. </w:t>
      </w:r>
    </w:p>
    <w:p w:rsidR="00FC5F67" w:rsidRPr="00FC5F67" w:rsidRDefault="00D3583F" w:rsidP="00FC5F67">
      <w:pPr>
        <w:numPr>
          <w:ilvl w:val="0"/>
          <w:numId w:val="7"/>
        </w:numPr>
        <w:autoSpaceDE w:val="0"/>
        <w:autoSpaceDN w:val="0"/>
        <w:adjustRightInd w:val="0"/>
        <w:spacing w:after="0" w:line="240" w:lineRule="auto"/>
        <w:ind w:left="360" w:hanging="360"/>
        <w:rPr>
          <w:rFonts w:asciiTheme="majorHAnsi" w:hAnsiTheme="majorHAnsi" w:cs="Arial"/>
          <w:color w:val="000000"/>
          <w:sz w:val="24"/>
          <w:szCs w:val="24"/>
        </w:rPr>
      </w:pPr>
      <w:r w:rsidRPr="00FC5F67">
        <w:rPr>
          <w:rFonts w:asciiTheme="majorHAnsi" w:hAnsiTheme="majorHAnsi" w:cs="Arial"/>
          <w:color w:val="000000"/>
          <w:sz w:val="24"/>
          <w:szCs w:val="24"/>
        </w:rPr>
        <w:t xml:space="preserve">Ensure mother is aware of, and agrees to the use of a nipple shield. </w:t>
      </w:r>
      <w:r w:rsidR="00FC5F67" w:rsidRPr="00FC5F67">
        <w:rPr>
          <w:rFonts w:asciiTheme="majorHAnsi" w:hAnsiTheme="majorHAnsi" w:cs="Arial"/>
          <w:color w:val="000000"/>
          <w:sz w:val="24"/>
          <w:szCs w:val="24"/>
        </w:rPr>
        <w:t>Shields may be used by patient after instruction by IBCLC, IBCLC candidate or staff nurse with documented competency.</w:t>
      </w:r>
    </w:p>
    <w:p w:rsidR="00FC5F67" w:rsidRDefault="00D3583F" w:rsidP="00FC5F67">
      <w:pPr>
        <w:numPr>
          <w:ilvl w:val="0"/>
          <w:numId w:val="7"/>
        </w:numPr>
        <w:autoSpaceDE w:val="0"/>
        <w:autoSpaceDN w:val="0"/>
        <w:adjustRightInd w:val="0"/>
        <w:spacing w:after="0" w:line="240" w:lineRule="auto"/>
        <w:ind w:left="360" w:hanging="360"/>
        <w:rPr>
          <w:rFonts w:asciiTheme="majorHAnsi" w:hAnsiTheme="majorHAnsi" w:cs="Arial"/>
          <w:color w:val="000000"/>
          <w:sz w:val="24"/>
          <w:szCs w:val="24"/>
        </w:rPr>
      </w:pPr>
      <w:r w:rsidRPr="00D3583F">
        <w:rPr>
          <w:rFonts w:asciiTheme="majorHAnsi" w:hAnsiTheme="majorHAnsi" w:cs="Arial"/>
          <w:color w:val="000000"/>
          <w:sz w:val="24"/>
          <w:szCs w:val="24"/>
        </w:rPr>
        <w:t xml:space="preserve">Choose appropriate size shield for the infant’s mouth. </w:t>
      </w:r>
      <w:r w:rsidR="00FC5F67">
        <w:rPr>
          <w:rFonts w:asciiTheme="majorHAnsi" w:hAnsiTheme="majorHAnsi" w:cs="Arial"/>
          <w:color w:val="000000"/>
          <w:sz w:val="24"/>
          <w:szCs w:val="24"/>
        </w:rPr>
        <w:t xml:space="preserve">Sizes in </w:t>
      </w:r>
      <w:r w:rsidR="00CA14E8">
        <w:rPr>
          <w:rFonts w:asciiTheme="majorHAnsi" w:hAnsiTheme="majorHAnsi" w:cs="Arial"/>
          <w:color w:val="000000"/>
          <w:sz w:val="24"/>
          <w:szCs w:val="24"/>
        </w:rPr>
        <w:t>P</w:t>
      </w:r>
      <w:r w:rsidR="00FC5F67">
        <w:rPr>
          <w:rFonts w:asciiTheme="majorHAnsi" w:hAnsiTheme="majorHAnsi" w:cs="Arial"/>
          <w:color w:val="000000"/>
          <w:sz w:val="24"/>
          <w:szCs w:val="24"/>
        </w:rPr>
        <w:t xml:space="preserve">yxis include 20 and 24 mm. </w:t>
      </w:r>
    </w:p>
    <w:p w:rsidR="00FC5F67" w:rsidRDefault="00D3583F" w:rsidP="00FC5F67">
      <w:pPr>
        <w:numPr>
          <w:ilvl w:val="0"/>
          <w:numId w:val="7"/>
        </w:numPr>
        <w:autoSpaceDE w:val="0"/>
        <w:autoSpaceDN w:val="0"/>
        <w:adjustRightInd w:val="0"/>
        <w:spacing w:after="0" w:line="240" w:lineRule="auto"/>
        <w:ind w:left="360" w:hanging="360"/>
        <w:rPr>
          <w:rFonts w:asciiTheme="majorHAnsi" w:hAnsiTheme="majorHAnsi" w:cs="Arial"/>
          <w:color w:val="000000"/>
          <w:sz w:val="24"/>
          <w:szCs w:val="24"/>
        </w:rPr>
      </w:pPr>
      <w:r w:rsidRPr="00FC5F67">
        <w:rPr>
          <w:rFonts w:asciiTheme="majorHAnsi" w:hAnsiTheme="majorHAnsi" w:cs="Arial"/>
          <w:color w:val="000000"/>
          <w:sz w:val="24"/>
          <w:szCs w:val="24"/>
        </w:rPr>
        <w:t xml:space="preserve">To fit shield, ask the mother to express a few drops of milk into the shield and around the areola. The shield should be applied centrally over the nipple, the cut out area being placed where the infant’s nose will be positioned. </w:t>
      </w:r>
      <w:r w:rsidR="007D60ED">
        <w:rPr>
          <w:rFonts w:asciiTheme="majorHAnsi" w:hAnsiTheme="majorHAnsi" w:cs="Arial"/>
          <w:color w:val="000000"/>
          <w:sz w:val="24"/>
          <w:szCs w:val="24"/>
        </w:rPr>
        <w:t xml:space="preserve"> </w:t>
      </w:r>
      <w:r w:rsidR="00297FD9">
        <w:rPr>
          <w:rFonts w:asciiTheme="majorHAnsi" w:hAnsiTheme="majorHAnsi" w:cs="Arial"/>
          <w:color w:val="000000"/>
          <w:sz w:val="24"/>
          <w:szCs w:val="24"/>
        </w:rPr>
        <w:t>(See Figure 1.)</w:t>
      </w:r>
    </w:p>
    <w:p w:rsidR="00FC5F67" w:rsidRDefault="00D3583F" w:rsidP="00FC5F67">
      <w:pPr>
        <w:pStyle w:val="ListParagraph"/>
        <w:numPr>
          <w:ilvl w:val="0"/>
          <w:numId w:val="12"/>
        </w:numPr>
        <w:autoSpaceDE w:val="0"/>
        <w:autoSpaceDN w:val="0"/>
        <w:adjustRightInd w:val="0"/>
        <w:spacing w:after="0" w:line="240" w:lineRule="auto"/>
        <w:rPr>
          <w:rFonts w:asciiTheme="majorHAnsi" w:hAnsiTheme="majorHAnsi" w:cs="Arial"/>
          <w:color w:val="000000"/>
          <w:sz w:val="24"/>
          <w:szCs w:val="24"/>
        </w:rPr>
      </w:pPr>
      <w:r w:rsidRPr="00FC5F67">
        <w:rPr>
          <w:rFonts w:asciiTheme="majorHAnsi" w:hAnsiTheme="majorHAnsi" w:cs="Arial"/>
          <w:color w:val="000000"/>
          <w:sz w:val="24"/>
          <w:szCs w:val="24"/>
        </w:rPr>
        <w:t xml:space="preserve">Stretch the shield to allow the nipple to be drawn in. </w:t>
      </w:r>
      <w:r w:rsidR="00FC5F67" w:rsidRPr="00FC5F67">
        <w:rPr>
          <w:rFonts w:asciiTheme="majorHAnsi" w:hAnsiTheme="majorHAnsi" w:cs="Arial"/>
          <w:color w:val="000000"/>
          <w:sz w:val="24"/>
          <w:szCs w:val="24"/>
        </w:rPr>
        <w:t xml:space="preserve">Instruct patient to stretch teat portion of nipple shield to create suction and draw as much of the nipple-areolar complex into the opening. </w:t>
      </w:r>
    </w:p>
    <w:p w:rsidR="00D3583F" w:rsidRPr="007D60ED" w:rsidRDefault="00FC5F67" w:rsidP="007D60ED">
      <w:pPr>
        <w:pStyle w:val="ListParagraph"/>
        <w:numPr>
          <w:ilvl w:val="0"/>
          <w:numId w:val="12"/>
        </w:numPr>
        <w:autoSpaceDE w:val="0"/>
        <w:autoSpaceDN w:val="0"/>
        <w:adjustRightInd w:val="0"/>
        <w:spacing w:after="0" w:line="240" w:lineRule="auto"/>
        <w:rPr>
          <w:rFonts w:asciiTheme="majorHAnsi" w:hAnsiTheme="majorHAnsi" w:cs="Arial"/>
          <w:color w:val="000000"/>
          <w:sz w:val="24"/>
          <w:szCs w:val="24"/>
        </w:rPr>
      </w:pPr>
      <w:r w:rsidRPr="00FC5F67">
        <w:rPr>
          <w:rFonts w:asciiTheme="majorHAnsi" w:hAnsiTheme="majorHAnsi" w:cs="Arial"/>
          <w:color w:val="000000"/>
          <w:sz w:val="24"/>
          <w:szCs w:val="24"/>
        </w:rPr>
        <w:t>Another technique to draw patient’s nipple into shield is to flip shield almost inside out before applying. When shield moves back into position, gentle traction is exerted on nipple-areolar complex.</w:t>
      </w:r>
    </w:p>
    <w:p w:rsidR="007D60ED" w:rsidRDefault="007D60ED" w:rsidP="007D60ED">
      <w:pPr>
        <w:numPr>
          <w:ilvl w:val="0"/>
          <w:numId w:val="7"/>
        </w:numPr>
        <w:autoSpaceDE w:val="0"/>
        <w:autoSpaceDN w:val="0"/>
        <w:adjustRightInd w:val="0"/>
        <w:spacing w:after="0" w:line="240" w:lineRule="auto"/>
        <w:ind w:left="360" w:hanging="360"/>
        <w:rPr>
          <w:rFonts w:asciiTheme="majorHAnsi" w:hAnsiTheme="majorHAnsi" w:cs="Arial"/>
          <w:color w:val="000000"/>
          <w:sz w:val="24"/>
          <w:szCs w:val="24"/>
        </w:rPr>
      </w:pPr>
      <w:r>
        <w:rPr>
          <w:rFonts w:asciiTheme="majorHAnsi" w:hAnsiTheme="majorHAnsi" w:cs="Arial"/>
          <w:color w:val="000000"/>
          <w:sz w:val="24"/>
          <w:szCs w:val="24"/>
        </w:rPr>
        <w:t xml:space="preserve">Assess for proper latch (see Figure 2.) effective suckle and audible swallowing, which indicate proper milk transfer and use of test weight to verify volume of milk transferred may be indicated. </w:t>
      </w:r>
    </w:p>
    <w:p w:rsidR="007D60ED" w:rsidRPr="007D60ED" w:rsidRDefault="007D60ED" w:rsidP="007D60ED">
      <w:pPr>
        <w:numPr>
          <w:ilvl w:val="0"/>
          <w:numId w:val="7"/>
        </w:numPr>
        <w:autoSpaceDE w:val="0"/>
        <w:autoSpaceDN w:val="0"/>
        <w:adjustRightInd w:val="0"/>
        <w:spacing w:after="0" w:line="240" w:lineRule="auto"/>
        <w:ind w:left="360" w:hanging="360"/>
        <w:rPr>
          <w:rFonts w:asciiTheme="majorHAnsi" w:hAnsiTheme="majorHAnsi" w:cs="Arial"/>
          <w:color w:val="000000"/>
          <w:sz w:val="24"/>
          <w:szCs w:val="24"/>
        </w:rPr>
      </w:pPr>
      <w:r w:rsidRPr="007D60ED">
        <w:rPr>
          <w:rFonts w:asciiTheme="majorHAnsi" w:hAnsiTheme="majorHAnsi" w:cs="Arial"/>
          <w:color w:val="000000"/>
          <w:sz w:val="24"/>
          <w:szCs w:val="24"/>
        </w:rPr>
        <w:t xml:space="preserve">Document indication for use and its effectiveness in the infant’s EMR </w:t>
      </w:r>
      <w:r w:rsidR="00297FD9">
        <w:rPr>
          <w:rFonts w:asciiTheme="majorHAnsi" w:hAnsiTheme="majorHAnsi" w:cs="Arial"/>
          <w:color w:val="000000"/>
          <w:sz w:val="24"/>
          <w:szCs w:val="24"/>
        </w:rPr>
        <w:t xml:space="preserve">(LATCH score) </w:t>
      </w:r>
      <w:r w:rsidRPr="007D60ED">
        <w:rPr>
          <w:rFonts w:asciiTheme="majorHAnsi" w:hAnsiTheme="majorHAnsi" w:cs="Arial"/>
          <w:color w:val="000000"/>
          <w:sz w:val="24"/>
          <w:szCs w:val="24"/>
        </w:rPr>
        <w:t xml:space="preserve">review daily the need to continue. </w:t>
      </w:r>
    </w:p>
    <w:p w:rsidR="00D3583F" w:rsidRPr="00D3583F" w:rsidRDefault="00D3583F" w:rsidP="00D3583F">
      <w:pPr>
        <w:numPr>
          <w:ilvl w:val="0"/>
          <w:numId w:val="7"/>
        </w:numPr>
        <w:autoSpaceDE w:val="0"/>
        <w:autoSpaceDN w:val="0"/>
        <w:adjustRightInd w:val="0"/>
        <w:spacing w:after="0" w:line="240" w:lineRule="auto"/>
        <w:ind w:left="360" w:hanging="360"/>
        <w:rPr>
          <w:rFonts w:asciiTheme="majorHAnsi" w:hAnsiTheme="majorHAnsi" w:cs="Arial"/>
          <w:color w:val="000000"/>
          <w:sz w:val="24"/>
          <w:szCs w:val="24"/>
        </w:rPr>
      </w:pPr>
      <w:r w:rsidRPr="00D3583F">
        <w:rPr>
          <w:rFonts w:asciiTheme="majorHAnsi" w:hAnsiTheme="majorHAnsi" w:cs="Arial"/>
          <w:color w:val="000000"/>
          <w:sz w:val="24"/>
          <w:szCs w:val="24"/>
        </w:rPr>
        <w:t>The nipple shield should be washed in hot soapy water, rinsed and dried after each use and stored in a clean c</w:t>
      </w:r>
      <w:r w:rsidR="00FC5F67">
        <w:rPr>
          <w:rFonts w:asciiTheme="majorHAnsi" w:hAnsiTheme="majorHAnsi" w:cs="Arial"/>
          <w:color w:val="000000"/>
          <w:sz w:val="24"/>
          <w:szCs w:val="24"/>
        </w:rPr>
        <w:t>ontainer under the infant’s crib</w:t>
      </w:r>
      <w:r w:rsidRPr="00D3583F">
        <w:rPr>
          <w:rFonts w:asciiTheme="majorHAnsi" w:hAnsiTheme="majorHAnsi" w:cs="Arial"/>
          <w:color w:val="000000"/>
          <w:sz w:val="24"/>
          <w:szCs w:val="24"/>
        </w:rPr>
        <w:t xml:space="preserve">/ drawer. </w:t>
      </w:r>
    </w:p>
    <w:p w:rsidR="00FC5F67" w:rsidRPr="00FC5F67" w:rsidRDefault="00FC5F67" w:rsidP="00FC5F67">
      <w:pPr>
        <w:numPr>
          <w:ilvl w:val="0"/>
          <w:numId w:val="7"/>
        </w:numPr>
        <w:tabs>
          <w:tab w:val="num" w:pos="1440"/>
        </w:tabs>
        <w:autoSpaceDE w:val="0"/>
        <w:autoSpaceDN w:val="0"/>
        <w:adjustRightInd w:val="0"/>
        <w:spacing w:after="0" w:line="240" w:lineRule="auto"/>
        <w:ind w:left="360" w:hanging="360"/>
        <w:rPr>
          <w:rFonts w:asciiTheme="majorHAnsi" w:hAnsiTheme="majorHAnsi" w:cs="Arial"/>
          <w:color w:val="000000"/>
          <w:sz w:val="24"/>
          <w:szCs w:val="24"/>
        </w:rPr>
      </w:pPr>
      <w:r w:rsidRPr="00FC5F67">
        <w:rPr>
          <w:rFonts w:asciiTheme="majorHAnsi" w:hAnsiTheme="majorHAnsi" w:cs="Times New Roman"/>
          <w:sz w:val="24"/>
          <w:szCs w:val="24"/>
        </w:rPr>
        <w:t>Regard use of the nipple shield as a temporary measure. Patient and staff should develop a plan to wean infant from shield as soon as is appropriate.</w:t>
      </w:r>
      <w:r w:rsidR="007D60ED">
        <w:rPr>
          <w:rFonts w:asciiTheme="majorHAnsi" w:hAnsiTheme="majorHAnsi" w:cs="Times New Roman"/>
          <w:sz w:val="24"/>
          <w:szCs w:val="24"/>
        </w:rPr>
        <w:t xml:space="preserve"> Assure Lactation consult has been completed. </w:t>
      </w:r>
    </w:p>
    <w:p w:rsidR="00D3583F" w:rsidRPr="00FC5F67" w:rsidRDefault="00D3583F" w:rsidP="00FC5F67">
      <w:pPr>
        <w:numPr>
          <w:ilvl w:val="0"/>
          <w:numId w:val="7"/>
        </w:numPr>
        <w:autoSpaceDE w:val="0"/>
        <w:autoSpaceDN w:val="0"/>
        <w:adjustRightInd w:val="0"/>
        <w:spacing w:after="0" w:line="240" w:lineRule="auto"/>
        <w:ind w:left="360" w:hanging="360"/>
        <w:rPr>
          <w:rFonts w:asciiTheme="majorHAnsi" w:hAnsiTheme="majorHAnsi" w:cs="Times New Roman"/>
          <w:sz w:val="24"/>
          <w:szCs w:val="24"/>
        </w:rPr>
      </w:pPr>
      <w:r w:rsidRPr="00FC5F67">
        <w:rPr>
          <w:rFonts w:asciiTheme="majorHAnsi" w:hAnsiTheme="majorHAnsi" w:cs="Arial"/>
          <w:b/>
          <w:bCs/>
          <w:i/>
          <w:iCs/>
          <w:color w:val="000000"/>
          <w:sz w:val="24"/>
          <w:szCs w:val="24"/>
        </w:rPr>
        <w:t xml:space="preserve">If nipple shields are used at discharge ensure appropriate follow–up is arranged </w:t>
      </w:r>
      <w:proofErr w:type="spellStart"/>
      <w:r w:rsidRPr="00FC5F67">
        <w:rPr>
          <w:rFonts w:asciiTheme="majorHAnsi" w:hAnsiTheme="majorHAnsi" w:cs="Arial"/>
          <w:b/>
          <w:bCs/>
          <w:i/>
          <w:iCs/>
          <w:color w:val="000000"/>
          <w:sz w:val="24"/>
          <w:szCs w:val="24"/>
        </w:rPr>
        <w:t>eg</w:t>
      </w:r>
      <w:proofErr w:type="spellEnd"/>
      <w:r w:rsidRPr="00FC5F67">
        <w:rPr>
          <w:rFonts w:asciiTheme="majorHAnsi" w:hAnsiTheme="majorHAnsi" w:cs="Arial"/>
          <w:b/>
          <w:bCs/>
          <w:i/>
          <w:iCs/>
          <w:color w:val="000000"/>
          <w:sz w:val="24"/>
          <w:szCs w:val="24"/>
        </w:rPr>
        <w:t xml:space="preserve">. Preterm infants will require the nipple shield until they are able to maintain attachment for adequate milk transfer for </w:t>
      </w:r>
      <w:r w:rsidR="00FC5F67" w:rsidRPr="00FC5F67">
        <w:rPr>
          <w:rFonts w:asciiTheme="majorHAnsi" w:hAnsiTheme="majorHAnsi" w:cs="Arial"/>
          <w:b/>
          <w:bCs/>
          <w:i/>
          <w:iCs/>
          <w:color w:val="000000"/>
          <w:sz w:val="24"/>
          <w:szCs w:val="24"/>
        </w:rPr>
        <w:t xml:space="preserve">the whole </w:t>
      </w:r>
      <w:r w:rsidR="00FC5F67" w:rsidRPr="00FC5F67">
        <w:rPr>
          <w:rFonts w:asciiTheme="majorHAnsi" w:hAnsiTheme="majorHAnsi" w:cs="Arial"/>
          <w:b/>
          <w:bCs/>
          <w:i/>
          <w:iCs/>
          <w:color w:val="000000"/>
        </w:rPr>
        <w:t>feed. This may be until approximately term corrected age or longer.</w:t>
      </w:r>
    </w:p>
    <w:p w:rsidR="00297FD9" w:rsidRDefault="00297FD9" w:rsidP="00813624">
      <w:pPr>
        <w:autoSpaceDE w:val="0"/>
        <w:autoSpaceDN w:val="0"/>
        <w:adjustRightInd w:val="0"/>
        <w:spacing w:after="0" w:line="240" w:lineRule="auto"/>
        <w:rPr>
          <w:rFonts w:asciiTheme="majorHAnsi" w:hAnsiTheme="majorHAnsi" w:cs="Times New Roman"/>
          <w:sz w:val="24"/>
          <w:szCs w:val="24"/>
        </w:rPr>
      </w:pPr>
    </w:p>
    <w:p w:rsidR="007D60ED" w:rsidRPr="006D025C" w:rsidRDefault="007D60ED" w:rsidP="007D60ED">
      <w:pPr>
        <w:rPr>
          <w:rFonts w:asciiTheme="majorHAnsi" w:hAnsiTheme="majorHAnsi" w:cs="Times New Roman"/>
          <w:b/>
          <w:sz w:val="24"/>
          <w:szCs w:val="24"/>
        </w:rPr>
      </w:pPr>
      <w:proofErr w:type="gramStart"/>
      <w:r w:rsidRPr="006D025C">
        <w:rPr>
          <w:rFonts w:asciiTheme="majorHAnsi" w:hAnsiTheme="majorHAnsi" w:cs="Times New Roman"/>
          <w:b/>
          <w:sz w:val="24"/>
          <w:szCs w:val="24"/>
        </w:rPr>
        <w:lastRenderedPageBreak/>
        <w:t>Fig</w:t>
      </w:r>
      <w:bookmarkStart w:id="0" w:name="_GoBack"/>
      <w:bookmarkEnd w:id="0"/>
      <w:r w:rsidRPr="006D025C">
        <w:rPr>
          <w:rFonts w:asciiTheme="majorHAnsi" w:hAnsiTheme="majorHAnsi" w:cs="Times New Roman"/>
          <w:b/>
          <w:sz w:val="24"/>
          <w:szCs w:val="24"/>
        </w:rPr>
        <w:t>ure 1.</w:t>
      </w:r>
      <w:proofErr w:type="gramEnd"/>
      <w:r w:rsidRPr="006D025C">
        <w:rPr>
          <w:rFonts w:asciiTheme="majorHAnsi" w:hAnsiTheme="majorHAnsi" w:cs="Times New Roman"/>
          <w:b/>
          <w:sz w:val="24"/>
          <w:szCs w:val="24"/>
        </w:rPr>
        <w:t xml:space="preserve"> </w:t>
      </w:r>
    </w:p>
    <w:p w:rsidR="007D60ED" w:rsidRDefault="007D60ED" w:rsidP="007D60ED">
      <w:pPr>
        <w:numPr>
          <w:ilvl w:val="0"/>
          <w:numId w:val="13"/>
        </w:numPr>
        <w:spacing w:after="0" w:line="240" w:lineRule="auto"/>
        <w:contextualSpacing/>
        <w:rPr>
          <w:rFonts w:asciiTheme="majorHAnsi" w:eastAsia="Times New Roman" w:hAnsiTheme="majorHAnsi" w:cs="Times New Roman"/>
          <w:sz w:val="24"/>
          <w:szCs w:val="24"/>
        </w:rPr>
      </w:pPr>
      <w:r w:rsidRPr="007D60ED">
        <w:rPr>
          <w:rFonts w:asciiTheme="majorHAnsi" w:eastAsia="Arial Unicode MS" w:hAnsiTheme="majorHAnsi" w:cs="Arial Unicode MS"/>
          <w:kern w:val="24"/>
          <w:sz w:val="24"/>
          <w:szCs w:val="24"/>
        </w:rPr>
        <w:t>Nipple should pull into shield</w:t>
      </w:r>
    </w:p>
    <w:p w:rsidR="007D60ED" w:rsidRPr="007D60ED" w:rsidRDefault="007D60ED" w:rsidP="007D60ED">
      <w:pPr>
        <w:numPr>
          <w:ilvl w:val="0"/>
          <w:numId w:val="13"/>
        </w:numPr>
        <w:spacing w:after="0" w:line="240" w:lineRule="auto"/>
        <w:contextualSpacing/>
        <w:rPr>
          <w:rFonts w:asciiTheme="majorHAnsi" w:eastAsia="Times New Roman" w:hAnsiTheme="majorHAnsi" w:cs="Times New Roman"/>
          <w:sz w:val="24"/>
          <w:szCs w:val="24"/>
        </w:rPr>
      </w:pPr>
      <w:r w:rsidRPr="007D60ED">
        <w:rPr>
          <w:rFonts w:asciiTheme="majorHAnsi" w:eastAsia="Arial Unicode MS" w:hAnsiTheme="majorHAnsi" w:cs="Arial Unicode MS"/>
          <w:kern w:val="24"/>
          <w:sz w:val="24"/>
          <w:szCs w:val="24"/>
        </w:rPr>
        <w:t>Positive signs baby is transferring- milk or colostrum in shield</w:t>
      </w:r>
    </w:p>
    <w:p w:rsidR="007D60ED" w:rsidRDefault="007D60ED" w:rsidP="00F72F60">
      <w:pPr>
        <w:rPr>
          <w:rFonts w:asciiTheme="majorHAnsi" w:hAnsiTheme="majorHAnsi" w:cs="Times New Roman"/>
          <w:sz w:val="24"/>
          <w:szCs w:val="24"/>
        </w:rPr>
      </w:pPr>
      <w:r>
        <w:rPr>
          <w:rFonts w:asciiTheme="majorHAnsi" w:hAnsiTheme="majorHAnsi" w:cs="Times New Roman"/>
          <w:noProof/>
          <w:sz w:val="24"/>
          <w:szCs w:val="24"/>
        </w:rPr>
        <w:drawing>
          <wp:inline distT="0" distB="0" distL="0" distR="0" wp14:anchorId="29CC4908">
            <wp:extent cx="5560060" cy="1981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0060" cy="1981200"/>
                    </a:xfrm>
                    <a:prstGeom prst="rect">
                      <a:avLst/>
                    </a:prstGeom>
                    <a:noFill/>
                  </pic:spPr>
                </pic:pic>
              </a:graphicData>
            </a:graphic>
          </wp:inline>
        </w:drawing>
      </w:r>
    </w:p>
    <w:p w:rsidR="007D60ED" w:rsidRPr="006D025C" w:rsidRDefault="007D60ED" w:rsidP="00F72F60">
      <w:pPr>
        <w:rPr>
          <w:rFonts w:asciiTheme="majorHAnsi" w:hAnsiTheme="majorHAnsi" w:cs="Times New Roman"/>
          <w:b/>
          <w:sz w:val="24"/>
          <w:szCs w:val="24"/>
        </w:rPr>
      </w:pPr>
      <w:proofErr w:type="gramStart"/>
      <w:r w:rsidRPr="006D025C">
        <w:rPr>
          <w:rFonts w:asciiTheme="majorHAnsi" w:hAnsiTheme="majorHAnsi" w:cs="Times New Roman"/>
          <w:b/>
          <w:sz w:val="24"/>
          <w:szCs w:val="24"/>
        </w:rPr>
        <w:t>Figure 2.</w:t>
      </w:r>
      <w:proofErr w:type="gramEnd"/>
      <w:r w:rsidRPr="006D025C">
        <w:rPr>
          <w:rFonts w:asciiTheme="majorHAnsi" w:hAnsiTheme="majorHAnsi" w:cs="Times New Roman"/>
          <w:b/>
          <w:sz w:val="24"/>
          <w:szCs w:val="24"/>
        </w:rPr>
        <w:t xml:space="preserve"> </w:t>
      </w:r>
    </w:p>
    <w:p w:rsidR="00F72F60" w:rsidRPr="007D60ED" w:rsidRDefault="007D60ED" w:rsidP="00F72F60">
      <w:pPr>
        <w:rPr>
          <w:rFonts w:asciiTheme="majorHAnsi" w:hAnsiTheme="majorHAnsi" w:cs="Times New Roman"/>
          <w:sz w:val="24"/>
          <w:szCs w:val="24"/>
        </w:rPr>
      </w:pPr>
      <w:r>
        <w:rPr>
          <w:rFonts w:asciiTheme="majorHAnsi" w:hAnsiTheme="majorHAnsi" w:cs="Times New Roman"/>
          <w:sz w:val="24"/>
          <w:szCs w:val="24"/>
        </w:rPr>
        <w:t>Good Latch with shield</w:t>
      </w:r>
      <w:r w:rsidR="006D025C">
        <w:rPr>
          <w:rFonts w:asciiTheme="majorHAnsi" w:hAnsiTheme="majorHAnsi" w:cs="Times New Roman"/>
          <w:sz w:val="24"/>
          <w:szCs w:val="24"/>
        </w:rPr>
        <w:tab/>
      </w:r>
      <w:r w:rsidR="006D025C">
        <w:rPr>
          <w:rFonts w:asciiTheme="majorHAnsi" w:hAnsiTheme="majorHAnsi" w:cs="Times New Roman"/>
          <w:sz w:val="24"/>
          <w:szCs w:val="24"/>
        </w:rPr>
        <w:tab/>
      </w:r>
      <w:r w:rsidR="006D025C">
        <w:rPr>
          <w:rFonts w:asciiTheme="majorHAnsi" w:hAnsiTheme="majorHAnsi" w:cs="Times New Roman"/>
          <w:sz w:val="24"/>
          <w:szCs w:val="24"/>
        </w:rPr>
        <w:tab/>
        <w:t>Bad latch with shield</w:t>
      </w:r>
    </w:p>
    <w:p w:rsidR="00F72F60" w:rsidRPr="007D60ED" w:rsidRDefault="007D60ED" w:rsidP="00F72F60">
      <w:pPr>
        <w:rPr>
          <w:rFonts w:asciiTheme="majorHAnsi" w:hAnsiTheme="majorHAnsi"/>
        </w:rPr>
      </w:pPr>
      <w:r>
        <w:rPr>
          <w:noProof/>
        </w:rPr>
        <w:drawing>
          <wp:inline distT="0" distB="0" distL="0" distR="0" wp14:anchorId="7E216946" wp14:editId="62D08DCD">
            <wp:extent cx="1901952" cy="1581912"/>
            <wp:effectExtent l="0" t="0" r="3175" b="0"/>
            <wp:docPr id="10245" name="Picture 4" descr="Latch On serie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5" name="Picture 4" descr="Latch On series"/>
                    <pic:cNvPicPr>
                      <a:picLocks noGrp="1" noChangeAspect="1" noChangeArrowheads="1"/>
                    </pic:cNvPicPr>
                  </pic:nvPicPr>
                  <pic:blipFill>
                    <a:blip r:embed="rId9" cstate="print"/>
                    <a:srcRect/>
                    <a:stretch>
                      <a:fillRect/>
                    </a:stretch>
                  </pic:blipFill>
                  <pic:spPr bwMode="auto">
                    <a:xfrm>
                      <a:off x="0" y="0"/>
                      <a:ext cx="1901952" cy="1581912"/>
                    </a:xfrm>
                    <a:prstGeom prst="rect">
                      <a:avLst/>
                    </a:prstGeom>
                    <a:noFill/>
                    <a:ln w="9525">
                      <a:noFill/>
                      <a:miter lim="800000"/>
                      <a:headEnd/>
                      <a:tailEnd/>
                    </a:ln>
                  </pic:spPr>
                </pic:pic>
              </a:graphicData>
            </a:graphic>
          </wp:inline>
        </w:drawing>
      </w:r>
      <w:r>
        <w:rPr>
          <w:rFonts w:asciiTheme="majorHAnsi" w:hAnsiTheme="majorHAnsi"/>
        </w:rPr>
        <w:t xml:space="preserve"> </w:t>
      </w:r>
      <w:r w:rsidR="006D025C">
        <w:rPr>
          <w:noProof/>
        </w:rPr>
        <w:t xml:space="preserve">                        </w:t>
      </w:r>
      <w:r w:rsidR="006D025C">
        <w:rPr>
          <w:noProof/>
        </w:rPr>
        <w:drawing>
          <wp:inline distT="0" distB="0" distL="0" distR="0" wp14:anchorId="6DB432AF" wp14:editId="35095C36">
            <wp:extent cx="2015176" cy="1581150"/>
            <wp:effectExtent l="0" t="0" r="4445" b="0"/>
            <wp:docPr id="2" name="Picture 5" descr="http://www.medelabreastfeedingus.com/assets/image/badlatch_nipshld.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46" name="Picture 5" descr="http://www.medelabreastfeedingus.com/assets/image/badlatch_nipshld.jpg"/>
                    <pic:cNvPicPr>
                      <a:picLocks noGrp="1" noChangeAspect="1" noChangeArrowheads="1"/>
                    </pic:cNvPicPr>
                  </pic:nvPicPr>
                  <pic:blipFill>
                    <a:blip r:embed="rId10" r:link="rId11" cstate="print"/>
                    <a:srcRect/>
                    <a:stretch>
                      <a:fillRect/>
                    </a:stretch>
                  </pic:blipFill>
                  <pic:spPr bwMode="auto">
                    <a:xfrm>
                      <a:off x="0" y="0"/>
                      <a:ext cx="2020824" cy="1585581"/>
                    </a:xfrm>
                    <a:prstGeom prst="rect">
                      <a:avLst/>
                    </a:prstGeom>
                    <a:noFill/>
                    <a:ln w="9525">
                      <a:noFill/>
                      <a:miter lim="800000"/>
                      <a:headEnd/>
                      <a:tailEnd/>
                    </a:ln>
                  </pic:spPr>
                </pic:pic>
              </a:graphicData>
            </a:graphic>
          </wp:inline>
        </w:drawing>
      </w:r>
    </w:p>
    <w:p w:rsidR="006D025C" w:rsidRPr="006D025C" w:rsidRDefault="006D025C" w:rsidP="006D025C">
      <w:pPr>
        <w:rPr>
          <w:b/>
        </w:rPr>
      </w:pPr>
      <w:proofErr w:type="gramStart"/>
      <w:r w:rsidRPr="006D025C">
        <w:rPr>
          <w:b/>
        </w:rPr>
        <w:t>References :</w:t>
      </w:r>
      <w:proofErr w:type="gramEnd"/>
      <w:r w:rsidRPr="006D025C">
        <w:rPr>
          <w:b/>
        </w:rPr>
        <w:t xml:space="preserve"> </w:t>
      </w:r>
    </w:p>
    <w:p w:rsidR="006D025C" w:rsidRDefault="006D025C" w:rsidP="006D025C">
      <w:r>
        <w:t>Meier PP, Brown LP, Hurst NM, et al. Nipple shields for preterm infants: effect on</w:t>
      </w:r>
    </w:p>
    <w:p w:rsidR="006D025C" w:rsidRDefault="006D025C" w:rsidP="006D025C">
      <w:proofErr w:type="gramStart"/>
      <w:r>
        <w:t>milk</w:t>
      </w:r>
      <w:proofErr w:type="gramEnd"/>
      <w:r>
        <w:t xml:space="preserve"> transfer and duration of breastfeeding. J Hum </w:t>
      </w:r>
      <w:proofErr w:type="spellStart"/>
      <w:r>
        <w:t>Lact</w:t>
      </w:r>
      <w:proofErr w:type="spellEnd"/>
      <w:r>
        <w:t xml:space="preserve"> 2000</w:t>
      </w:r>
      <w:proofErr w:type="gramStart"/>
      <w:r>
        <w:t>;16:106</w:t>
      </w:r>
      <w:proofErr w:type="gramEnd"/>
      <w:r>
        <w:t>-113.</w:t>
      </w:r>
    </w:p>
    <w:p w:rsidR="006D025C" w:rsidRDefault="006D025C" w:rsidP="006D025C">
      <w:proofErr w:type="spellStart"/>
      <w:r>
        <w:t>Genna</w:t>
      </w:r>
      <w:proofErr w:type="spellEnd"/>
      <w:r>
        <w:t>, C. W. (2009). Selecting and using breastfeeding tools. Amarillo: Hale.</w:t>
      </w:r>
    </w:p>
    <w:p w:rsidR="00F72F60" w:rsidRDefault="006D025C" w:rsidP="006D025C">
      <w:r>
        <w:t xml:space="preserve">Clay, B. W. (2012). </w:t>
      </w:r>
      <w:proofErr w:type="spellStart"/>
      <w:proofErr w:type="gramStart"/>
      <w:r>
        <w:t>Medela</w:t>
      </w:r>
      <w:proofErr w:type="spellEnd"/>
      <w:r>
        <w:t>.</w:t>
      </w:r>
      <w:proofErr w:type="gramEnd"/>
      <w:r>
        <w:t xml:space="preserve"> Retrieved September 6, 2012, from Nipple Shields: http://www.medelabreastfeedingus.com/tips-and-solutions/112/nipple-shields</w:t>
      </w:r>
    </w:p>
    <w:p w:rsidR="00F72F60" w:rsidRDefault="00F72F60" w:rsidP="00F72F60"/>
    <w:p w:rsidR="00F72F60" w:rsidRDefault="00F72F60" w:rsidP="00F72F60"/>
    <w:sectPr w:rsidR="00F72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7C" w:rsidRDefault="003B5E7C" w:rsidP="003B5E7C">
      <w:pPr>
        <w:spacing w:after="0" w:line="240" w:lineRule="auto"/>
      </w:pPr>
      <w:r>
        <w:separator/>
      </w:r>
    </w:p>
  </w:endnote>
  <w:endnote w:type="continuationSeparator" w:id="0">
    <w:p w:rsidR="003B5E7C" w:rsidRDefault="003B5E7C" w:rsidP="003B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7C" w:rsidRDefault="003B5E7C">
    <w:pPr>
      <w:pStyle w:val="Footer"/>
    </w:pPr>
    <w:r>
      <w:t>7.14.14</w:t>
    </w:r>
  </w:p>
  <w:p w:rsidR="003B5E7C" w:rsidRDefault="003B5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7C" w:rsidRDefault="003B5E7C" w:rsidP="003B5E7C">
      <w:pPr>
        <w:spacing w:after="0" w:line="240" w:lineRule="auto"/>
      </w:pPr>
      <w:r>
        <w:separator/>
      </w:r>
    </w:p>
  </w:footnote>
  <w:footnote w:type="continuationSeparator" w:id="0">
    <w:p w:rsidR="003B5E7C" w:rsidRDefault="003B5E7C" w:rsidP="003B5E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CA8E6"/>
    <w:multiLevelType w:val="hybridMultilevel"/>
    <w:tmpl w:val="05C1B0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F13AB"/>
    <w:multiLevelType w:val="hybridMultilevel"/>
    <w:tmpl w:val="A04E7A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40996"/>
    <w:multiLevelType w:val="hybridMultilevel"/>
    <w:tmpl w:val="01AC6036"/>
    <w:lvl w:ilvl="0" w:tplc="937C9B04">
      <w:start w:val="1"/>
      <w:numFmt w:val="bullet"/>
      <w:lvlText w:val="•"/>
      <w:lvlJc w:val="left"/>
      <w:pPr>
        <w:tabs>
          <w:tab w:val="num" w:pos="540"/>
        </w:tabs>
        <w:ind w:left="540" w:hanging="360"/>
      </w:pPr>
      <w:rPr>
        <w:rFonts w:ascii="Arial" w:hAnsi="Arial" w:hint="default"/>
      </w:rPr>
    </w:lvl>
    <w:lvl w:ilvl="1" w:tplc="6ED0A614" w:tentative="1">
      <w:start w:val="1"/>
      <w:numFmt w:val="bullet"/>
      <w:lvlText w:val="•"/>
      <w:lvlJc w:val="left"/>
      <w:pPr>
        <w:tabs>
          <w:tab w:val="num" w:pos="2340"/>
        </w:tabs>
        <w:ind w:left="2340" w:hanging="360"/>
      </w:pPr>
      <w:rPr>
        <w:rFonts w:ascii="Arial" w:hAnsi="Arial" w:hint="default"/>
      </w:rPr>
    </w:lvl>
    <w:lvl w:ilvl="2" w:tplc="FC1C4740" w:tentative="1">
      <w:start w:val="1"/>
      <w:numFmt w:val="bullet"/>
      <w:lvlText w:val="•"/>
      <w:lvlJc w:val="left"/>
      <w:pPr>
        <w:tabs>
          <w:tab w:val="num" w:pos="3060"/>
        </w:tabs>
        <w:ind w:left="3060" w:hanging="360"/>
      </w:pPr>
      <w:rPr>
        <w:rFonts w:ascii="Arial" w:hAnsi="Arial" w:hint="default"/>
      </w:rPr>
    </w:lvl>
    <w:lvl w:ilvl="3" w:tplc="EDC6793E" w:tentative="1">
      <w:start w:val="1"/>
      <w:numFmt w:val="bullet"/>
      <w:lvlText w:val="•"/>
      <w:lvlJc w:val="left"/>
      <w:pPr>
        <w:tabs>
          <w:tab w:val="num" w:pos="3780"/>
        </w:tabs>
        <w:ind w:left="3780" w:hanging="360"/>
      </w:pPr>
      <w:rPr>
        <w:rFonts w:ascii="Arial" w:hAnsi="Arial" w:hint="default"/>
      </w:rPr>
    </w:lvl>
    <w:lvl w:ilvl="4" w:tplc="C1A2FF7E" w:tentative="1">
      <w:start w:val="1"/>
      <w:numFmt w:val="bullet"/>
      <w:lvlText w:val="•"/>
      <w:lvlJc w:val="left"/>
      <w:pPr>
        <w:tabs>
          <w:tab w:val="num" w:pos="4500"/>
        </w:tabs>
        <w:ind w:left="4500" w:hanging="360"/>
      </w:pPr>
      <w:rPr>
        <w:rFonts w:ascii="Arial" w:hAnsi="Arial" w:hint="default"/>
      </w:rPr>
    </w:lvl>
    <w:lvl w:ilvl="5" w:tplc="10D05B5C" w:tentative="1">
      <w:start w:val="1"/>
      <w:numFmt w:val="bullet"/>
      <w:lvlText w:val="•"/>
      <w:lvlJc w:val="left"/>
      <w:pPr>
        <w:tabs>
          <w:tab w:val="num" w:pos="5220"/>
        </w:tabs>
        <w:ind w:left="5220" w:hanging="360"/>
      </w:pPr>
      <w:rPr>
        <w:rFonts w:ascii="Arial" w:hAnsi="Arial" w:hint="default"/>
      </w:rPr>
    </w:lvl>
    <w:lvl w:ilvl="6" w:tplc="331874BE" w:tentative="1">
      <w:start w:val="1"/>
      <w:numFmt w:val="bullet"/>
      <w:lvlText w:val="•"/>
      <w:lvlJc w:val="left"/>
      <w:pPr>
        <w:tabs>
          <w:tab w:val="num" w:pos="5940"/>
        </w:tabs>
        <w:ind w:left="5940" w:hanging="360"/>
      </w:pPr>
      <w:rPr>
        <w:rFonts w:ascii="Arial" w:hAnsi="Arial" w:hint="default"/>
      </w:rPr>
    </w:lvl>
    <w:lvl w:ilvl="7" w:tplc="3F260018" w:tentative="1">
      <w:start w:val="1"/>
      <w:numFmt w:val="bullet"/>
      <w:lvlText w:val="•"/>
      <w:lvlJc w:val="left"/>
      <w:pPr>
        <w:tabs>
          <w:tab w:val="num" w:pos="6660"/>
        </w:tabs>
        <w:ind w:left="6660" w:hanging="360"/>
      </w:pPr>
      <w:rPr>
        <w:rFonts w:ascii="Arial" w:hAnsi="Arial" w:hint="default"/>
      </w:rPr>
    </w:lvl>
    <w:lvl w:ilvl="8" w:tplc="04D6E7B0" w:tentative="1">
      <w:start w:val="1"/>
      <w:numFmt w:val="bullet"/>
      <w:lvlText w:val="•"/>
      <w:lvlJc w:val="left"/>
      <w:pPr>
        <w:tabs>
          <w:tab w:val="num" w:pos="7380"/>
        </w:tabs>
        <w:ind w:left="7380" w:hanging="360"/>
      </w:pPr>
      <w:rPr>
        <w:rFonts w:ascii="Arial" w:hAnsi="Arial" w:hint="default"/>
      </w:rPr>
    </w:lvl>
  </w:abstractNum>
  <w:abstractNum w:abstractNumId="3">
    <w:nsid w:val="04E02C12"/>
    <w:multiLevelType w:val="hybridMultilevel"/>
    <w:tmpl w:val="DA36E658"/>
    <w:lvl w:ilvl="0" w:tplc="8F925C7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3175E"/>
    <w:multiLevelType w:val="hybridMultilevel"/>
    <w:tmpl w:val="28247502"/>
    <w:lvl w:ilvl="0" w:tplc="2B7455A8">
      <w:start w:val="1"/>
      <w:numFmt w:val="bullet"/>
      <w:lvlText w:val="•"/>
      <w:lvlJc w:val="left"/>
      <w:pPr>
        <w:tabs>
          <w:tab w:val="num" w:pos="720"/>
        </w:tabs>
        <w:ind w:left="720" w:hanging="360"/>
      </w:pPr>
      <w:rPr>
        <w:rFonts w:ascii="Georgia" w:hAnsi="Georgia" w:hint="default"/>
      </w:rPr>
    </w:lvl>
    <w:lvl w:ilvl="1" w:tplc="95183BE8" w:tentative="1">
      <w:start w:val="1"/>
      <w:numFmt w:val="bullet"/>
      <w:lvlText w:val="•"/>
      <w:lvlJc w:val="left"/>
      <w:pPr>
        <w:tabs>
          <w:tab w:val="num" w:pos="1440"/>
        </w:tabs>
        <w:ind w:left="1440" w:hanging="360"/>
      </w:pPr>
      <w:rPr>
        <w:rFonts w:ascii="Georgia" w:hAnsi="Georgia" w:hint="default"/>
      </w:rPr>
    </w:lvl>
    <w:lvl w:ilvl="2" w:tplc="928EF850" w:tentative="1">
      <w:start w:val="1"/>
      <w:numFmt w:val="bullet"/>
      <w:lvlText w:val="•"/>
      <w:lvlJc w:val="left"/>
      <w:pPr>
        <w:tabs>
          <w:tab w:val="num" w:pos="2160"/>
        </w:tabs>
        <w:ind w:left="2160" w:hanging="360"/>
      </w:pPr>
      <w:rPr>
        <w:rFonts w:ascii="Georgia" w:hAnsi="Georgia" w:hint="default"/>
      </w:rPr>
    </w:lvl>
    <w:lvl w:ilvl="3" w:tplc="E1701E48" w:tentative="1">
      <w:start w:val="1"/>
      <w:numFmt w:val="bullet"/>
      <w:lvlText w:val="•"/>
      <w:lvlJc w:val="left"/>
      <w:pPr>
        <w:tabs>
          <w:tab w:val="num" w:pos="2880"/>
        </w:tabs>
        <w:ind w:left="2880" w:hanging="360"/>
      </w:pPr>
      <w:rPr>
        <w:rFonts w:ascii="Georgia" w:hAnsi="Georgia" w:hint="default"/>
      </w:rPr>
    </w:lvl>
    <w:lvl w:ilvl="4" w:tplc="0CD6D394" w:tentative="1">
      <w:start w:val="1"/>
      <w:numFmt w:val="bullet"/>
      <w:lvlText w:val="•"/>
      <w:lvlJc w:val="left"/>
      <w:pPr>
        <w:tabs>
          <w:tab w:val="num" w:pos="3600"/>
        </w:tabs>
        <w:ind w:left="3600" w:hanging="360"/>
      </w:pPr>
      <w:rPr>
        <w:rFonts w:ascii="Georgia" w:hAnsi="Georgia" w:hint="default"/>
      </w:rPr>
    </w:lvl>
    <w:lvl w:ilvl="5" w:tplc="83A0FC26" w:tentative="1">
      <w:start w:val="1"/>
      <w:numFmt w:val="bullet"/>
      <w:lvlText w:val="•"/>
      <w:lvlJc w:val="left"/>
      <w:pPr>
        <w:tabs>
          <w:tab w:val="num" w:pos="4320"/>
        </w:tabs>
        <w:ind w:left="4320" w:hanging="360"/>
      </w:pPr>
      <w:rPr>
        <w:rFonts w:ascii="Georgia" w:hAnsi="Georgia" w:hint="default"/>
      </w:rPr>
    </w:lvl>
    <w:lvl w:ilvl="6" w:tplc="E41CB4D2" w:tentative="1">
      <w:start w:val="1"/>
      <w:numFmt w:val="bullet"/>
      <w:lvlText w:val="•"/>
      <w:lvlJc w:val="left"/>
      <w:pPr>
        <w:tabs>
          <w:tab w:val="num" w:pos="5040"/>
        </w:tabs>
        <w:ind w:left="5040" w:hanging="360"/>
      </w:pPr>
      <w:rPr>
        <w:rFonts w:ascii="Georgia" w:hAnsi="Georgia" w:hint="default"/>
      </w:rPr>
    </w:lvl>
    <w:lvl w:ilvl="7" w:tplc="917A5D04" w:tentative="1">
      <w:start w:val="1"/>
      <w:numFmt w:val="bullet"/>
      <w:lvlText w:val="•"/>
      <w:lvlJc w:val="left"/>
      <w:pPr>
        <w:tabs>
          <w:tab w:val="num" w:pos="5760"/>
        </w:tabs>
        <w:ind w:left="5760" w:hanging="360"/>
      </w:pPr>
      <w:rPr>
        <w:rFonts w:ascii="Georgia" w:hAnsi="Georgia" w:hint="default"/>
      </w:rPr>
    </w:lvl>
    <w:lvl w:ilvl="8" w:tplc="F704D6DA" w:tentative="1">
      <w:start w:val="1"/>
      <w:numFmt w:val="bullet"/>
      <w:lvlText w:val="•"/>
      <w:lvlJc w:val="left"/>
      <w:pPr>
        <w:tabs>
          <w:tab w:val="num" w:pos="6480"/>
        </w:tabs>
        <w:ind w:left="6480" w:hanging="360"/>
      </w:pPr>
      <w:rPr>
        <w:rFonts w:ascii="Georgia" w:hAnsi="Georgia" w:hint="default"/>
      </w:rPr>
    </w:lvl>
  </w:abstractNum>
  <w:abstractNum w:abstractNumId="5">
    <w:nsid w:val="0FDF83BE"/>
    <w:multiLevelType w:val="hybridMultilevel"/>
    <w:tmpl w:val="B83CD6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A8903BC"/>
    <w:multiLevelType w:val="hybridMultilevel"/>
    <w:tmpl w:val="C1B4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53AF6"/>
    <w:multiLevelType w:val="hybridMultilevel"/>
    <w:tmpl w:val="332EC780"/>
    <w:lvl w:ilvl="0" w:tplc="07CEB1A2">
      <w:start w:val="1"/>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EB5AD1"/>
    <w:multiLevelType w:val="hybridMultilevel"/>
    <w:tmpl w:val="DFBE45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84A0682"/>
    <w:multiLevelType w:val="hybridMultilevel"/>
    <w:tmpl w:val="5C72E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996ECA"/>
    <w:multiLevelType w:val="hybridMultilevel"/>
    <w:tmpl w:val="EC52AA52"/>
    <w:lvl w:ilvl="0" w:tplc="494E8B58">
      <w:start w:val="1"/>
      <w:numFmt w:val="upperRoman"/>
      <w:lvlText w:val="%1."/>
      <w:lvlJc w:val="left"/>
      <w:pPr>
        <w:tabs>
          <w:tab w:val="num" w:pos="1080"/>
        </w:tabs>
        <w:ind w:left="1080" w:hanging="720"/>
      </w:pPr>
      <w:rPr>
        <w:rFonts w:hint="default"/>
      </w:rPr>
    </w:lvl>
    <w:lvl w:ilvl="1" w:tplc="7E66965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7456D6"/>
    <w:multiLevelType w:val="hybridMultilevel"/>
    <w:tmpl w:val="4EDCAD26"/>
    <w:lvl w:ilvl="0" w:tplc="3C224220">
      <w:start w:val="1"/>
      <w:numFmt w:val="upperRoman"/>
      <w:lvlText w:val="%1."/>
      <w:lvlJc w:val="left"/>
      <w:pPr>
        <w:tabs>
          <w:tab w:val="num" w:pos="1080"/>
        </w:tabs>
        <w:ind w:left="1080" w:hanging="720"/>
      </w:pPr>
      <w:rPr>
        <w:rFonts w:hint="default"/>
      </w:rPr>
    </w:lvl>
    <w:lvl w:ilvl="1" w:tplc="426224FE">
      <w:start w:val="1"/>
      <w:numFmt w:val="upperLetter"/>
      <w:lvlText w:val="%2)"/>
      <w:lvlJc w:val="left"/>
      <w:pPr>
        <w:tabs>
          <w:tab w:val="num" w:pos="1440"/>
        </w:tabs>
        <w:ind w:left="1440" w:hanging="360"/>
      </w:pPr>
      <w:rPr>
        <w:rFonts w:hint="default"/>
      </w:rPr>
    </w:lvl>
    <w:lvl w:ilvl="2" w:tplc="B672C266">
      <w:start w:val="1"/>
      <w:numFmt w:val="decimal"/>
      <w:lvlText w:val="%3."/>
      <w:lvlJc w:val="left"/>
      <w:pPr>
        <w:tabs>
          <w:tab w:val="num" w:pos="2340"/>
        </w:tabs>
        <w:ind w:left="2340" w:hanging="360"/>
      </w:pPr>
      <w:rPr>
        <w:rFonts w:hint="default"/>
      </w:rPr>
    </w:lvl>
    <w:lvl w:ilvl="3" w:tplc="3F0869A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1C87BDF"/>
    <w:multiLevelType w:val="hybridMultilevel"/>
    <w:tmpl w:val="346EB29A"/>
    <w:lvl w:ilvl="0" w:tplc="A516B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3"/>
  </w:num>
  <w:num w:numId="4">
    <w:abstractNumId w:val="7"/>
  </w:num>
  <w:num w:numId="5">
    <w:abstractNumId w:val="0"/>
  </w:num>
  <w:num w:numId="6">
    <w:abstractNumId w:val="8"/>
  </w:num>
  <w:num w:numId="7">
    <w:abstractNumId w:val="5"/>
  </w:num>
  <w:num w:numId="8">
    <w:abstractNumId w:val="6"/>
  </w:num>
  <w:num w:numId="9">
    <w:abstractNumId w:val="9"/>
  </w:num>
  <w:num w:numId="10">
    <w:abstractNumId w:val="1"/>
  </w:num>
  <w:num w:numId="11">
    <w:abstractNumId w:val="4"/>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60"/>
    <w:rsid w:val="000A5FA5"/>
    <w:rsid w:val="00297FD9"/>
    <w:rsid w:val="003B5E7C"/>
    <w:rsid w:val="006D025C"/>
    <w:rsid w:val="007D60ED"/>
    <w:rsid w:val="007E7311"/>
    <w:rsid w:val="00813624"/>
    <w:rsid w:val="00CA14E8"/>
    <w:rsid w:val="00D3583F"/>
    <w:rsid w:val="00F72F60"/>
    <w:rsid w:val="00FC5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3F"/>
    <w:pPr>
      <w:ind w:left="720"/>
      <w:contextualSpacing/>
    </w:pPr>
  </w:style>
  <w:style w:type="paragraph" w:styleId="BalloonText">
    <w:name w:val="Balloon Text"/>
    <w:basedOn w:val="Normal"/>
    <w:link w:val="BalloonTextChar"/>
    <w:uiPriority w:val="99"/>
    <w:semiHidden/>
    <w:unhideWhenUsed/>
    <w:rsid w:val="007D6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ED"/>
    <w:rPr>
      <w:rFonts w:ascii="Tahoma" w:hAnsi="Tahoma" w:cs="Tahoma"/>
      <w:sz w:val="16"/>
      <w:szCs w:val="16"/>
    </w:rPr>
  </w:style>
  <w:style w:type="character" w:styleId="Hyperlink">
    <w:name w:val="Hyperlink"/>
    <w:basedOn w:val="DefaultParagraphFont"/>
    <w:uiPriority w:val="99"/>
    <w:unhideWhenUsed/>
    <w:rsid w:val="007D60ED"/>
    <w:rPr>
      <w:color w:val="0000FF" w:themeColor="hyperlink"/>
      <w:u w:val="single"/>
    </w:rPr>
  </w:style>
  <w:style w:type="paragraph" w:styleId="Header">
    <w:name w:val="header"/>
    <w:basedOn w:val="Normal"/>
    <w:link w:val="HeaderChar"/>
    <w:uiPriority w:val="99"/>
    <w:unhideWhenUsed/>
    <w:rsid w:val="003B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E7C"/>
  </w:style>
  <w:style w:type="paragraph" w:styleId="Footer">
    <w:name w:val="footer"/>
    <w:basedOn w:val="Normal"/>
    <w:link w:val="FooterChar"/>
    <w:uiPriority w:val="99"/>
    <w:unhideWhenUsed/>
    <w:rsid w:val="003B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3F"/>
    <w:pPr>
      <w:ind w:left="720"/>
      <w:contextualSpacing/>
    </w:pPr>
  </w:style>
  <w:style w:type="paragraph" w:styleId="BalloonText">
    <w:name w:val="Balloon Text"/>
    <w:basedOn w:val="Normal"/>
    <w:link w:val="BalloonTextChar"/>
    <w:uiPriority w:val="99"/>
    <w:semiHidden/>
    <w:unhideWhenUsed/>
    <w:rsid w:val="007D6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0ED"/>
    <w:rPr>
      <w:rFonts w:ascii="Tahoma" w:hAnsi="Tahoma" w:cs="Tahoma"/>
      <w:sz w:val="16"/>
      <w:szCs w:val="16"/>
    </w:rPr>
  </w:style>
  <w:style w:type="character" w:styleId="Hyperlink">
    <w:name w:val="Hyperlink"/>
    <w:basedOn w:val="DefaultParagraphFont"/>
    <w:uiPriority w:val="99"/>
    <w:unhideWhenUsed/>
    <w:rsid w:val="007D60ED"/>
    <w:rPr>
      <w:color w:val="0000FF" w:themeColor="hyperlink"/>
      <w:u w:val="single"/>
    </w:rPr>
  </w:style>
  <w:style w:type="paragraph" w:styleId="Header">
    <w:name w:val="header"/>
    <w:basedOn w:val="Normal"/>
    <w:link w:val="HeaderChar"/>
    <w:uiPriority w:val="99"/>
    <w:unhideWhenUsed/>
    <w:rsid w:val="003B5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E7C"/>
  </w:style>
  <w:style w:type="paragraph" w:styleId="Footer">
    <w:name w:val="footer"/>
    <w:basedOn w:val="Normal"/>
    <w:link w:val="FooterChar"/>
    <w:uiPriority w:val="99"/>
    <w:unhideWhenUsed/>
    <w:rsid w:val="003B5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105237">
      <w:bodyDiv w:val="1"/>
      <w:marLeft w:val="0"/>
      <w:marRight w:val="0"/>
      <w:marTop w:val="0"/>
      <w:marBottom w:val="0"/>
      <w:divBdr>
        <w:top w:val="none" w:sz="0" w:space="0" w:color="auto"/>
        <w:left w:val="none" w:sz="0" w:space="0" w:color="auto"/>
        <w:bottom w:val="none" w:sz="0" w:space="0" w:color="auto"/>
        <w:right w:val="none" w:sz="0" w:space="0" w:color="auto"/>
      </w:divBdr>
      <w:divsChild>
        <w:div w:id="166747270">
          <w:marLeft w:val="576"/>
          <w:marRight w:val="0"/>
          <w:marTop w:val="60"/>
          <w:marBottom w:val="0"/>
          <w:divBdr>
            <w:top w:val="none" w:sz="0" w:space="0" w:color="auto"/>
            <w:left w:val="none" w:sz="0" w:space="0" w:color="auto"/>
            <w:bottom w:val="none" w:sz="0" w:space="0" w:color="auto"/>
            <w:right w:val="none" w:sz="0" w:space="0" w:color="auto"/>
          </w:divBdr>
        </w:div>
      </w:divsChild>
    </w:div>
    <w:div w:id="1573924833">
      <w:bodyDiv w:val="1"/>
      <w:marLeft w:val="0"/>
      <w:marRight w:val="0"/>
      <w:marTop w:val="0"/>
      <w:marBottom w:val="0"/>
      <w:divBdr>
        <w:top w:val="none" w:sz="0" w:space="0" w:color="auto"/>
        <w:left w:val="none" w:sz="0" w:space="0" w:color="auto"/>
        <w:bottom w:val="none" w:sz="0" w:space="0" w:color="auto"/>
        <w:right w:val="none" w:sz="0" w:space="0" w:color="auto"/>
      </w:divBdr>
      <w:divsChild>
        <w:div w:id="1979146638">
          <w:marLeft w:val="14"/>
          <w:marRight w:val="0"/>
          <w:marTop w:val="60"/>
          <w:marBottom w:val="0"/>
          <w:divBdr>
            <w:top w:val="none" w:sz="0" w:space="0" w:color="auto"/>
            <w:left w:val="none" w:sz="0" w:space="0" w:color="auto"/>
            <w:bottom w:val="none" w:sz="0" w:space="0" w:color="auto"/>
            <w:right w:val="none" w:sz="0" w:space="0" w:color="auto"/>
          </w:divBdr>
        </w:div>
        <w:div w:id="1039430386">
          <w:marLeft w:val="14"/>
          <w:marRight w:val="0"/>
          <w:marTop w:val="60"/>
          <w:marBottom w:val="0"/>
          <w:divBdr>
            <w:top w:val="none" w:sz="0" w:space="0" w:color="auto"/>
            <w:left w:val="none" w:sz="0" w:space="0" w:color="auto"/>
            <w:bottom w:val="none" w:sz="0" w:space="0" w:color="auto"/>
            <w:right w:val="none" w:sz="0" w:space="0" w:color="auto"/>
          </w:divBdr>
        </w:div>
      </w:divsChild>
    </w:div>
    <w:div w:id="1867787960">
      <w:bodyDiv w:val="1"/>
      <w:marLeft w:val="0"/>
      <w:marRight w:val="0"/>
      <w:marTop w:val="0"/>
      <w:marBottom w:val="0"/>
      <w:divBdr>
        <w:top w:val="none" w:sz="0" w:space="0" w:color="auto"/>
        <w:left w:val="none" w:sz="0" w:space="0" w:color="auto"/>
        <w:bottom w:val="none" w:sz="0" w:space="0" w:color="auto"/>
        <w:right w:val="none" w:sz="0" w:space="0" w:color="auto"/>
      </w:divBdr>
      <w:divsChild>
        <w:div w:id="834539734">
          <w:marLeft w:val="0"/>
          <w:marRight w:val="0"/>
          <w:marTop w:val="0"/>
          <w:marBottom w:val="0"/>
          <w:divBdr>
            <w:top w:val="none" w:sz="0" w:space="0" w:color="auto"/>
            <w:left w:val="none" w:sz="0" w:space="0" w:color="auto"/>
            <w:bottom w:val="none" w:sz="0" w:space="0" w:color="auto"/>
            <w:right w:val="none" w:sz="0" w:space="0" w:color="auto"/>
          </w:divBdr>
          <w:divsChild>
            <w:div w:id="2125926696">
              <w:marLeft w:val="0"/>
              <w:marRight w:val="0"/>
              <w:marTop w:val="0"/>
              <w:marBottom w:val="0"/>
              <w:divBdr>
                <w:top w:val="none" w:sz="0" w:space="0" w:color="auto"/>
                <w:left w:val="none" w:sz="0" w:space="0" w:color="auto"/>
                <w:bottom w:val="none" w:sz="0" w:space="0" w:color="auto"/>
                <w:right w:val="none" w:sz="0" w:space="0" w:color="auto"/>
              </w:divBdr>
              <w:divsChild>
                <w:div w:id="821312589">
                  <w:marLeft w:val="0"/>
                  <w:marRight w:val="0"/>
                  <w:marTop w:val="0"/>
                  <w:marBottom w:val="0"/>
                  <w:divBdr>
                    <w:top w:val="none" w:sz="0" w:space="0" w:color="auto"/>
                    <w:left w:val="none" w:sz="0" w:space="0" w:color="auto"/>
                    <w:bottom w:val="none" w:sz="0" w:space="0" w:color="auto"/>
                    <w:right w:val="none" w:sz="0" w:space="0" w:color="auto"/>
                  </w:divBdr>
                  <w:divsChild>
                    <w:div w:id="239994828">
                      <w:marLeft w:val="0"/>
                      <w:marRight w:val="0"/>
                      <w:marTop w:val="0"/>
                      <w:marBottom w:val="0"/>
                      <w:divBdr>
                        <w:top w:val="none" w:sz="0" w:space="0" w:color="auto"/>
                        <w:left w:val="none" w:sz="0" w:space="0" w:color="auto"/>
                        <w:bottom w:val="none" w:sz="0" w:space="0" w:color="auto"/>
                        <w:right w:val="none" w:sz="0" w:space="0" w:color="auto"/>
                      </w:divBdr>
                      <w:divsChild>
                        <w:div w:id="1170679678">
                          <w:marLeft w:val="0"/>
                          <w:marRight w:val="0"/>
                          <w:marTop w:val="0"/>
                          <w:marBottom w:val="0"/>
                          <w:divBdr>
                            <w:top w:val="none" w:sz="0" w:space="0" w:color="auto"/>
                            <w:left w:val="none" w:sz="0" w:space="0" w:color="auto"/>
                            <w:bottom w:val="none" w:sz="0" w:space="0" w:color="auto"/>
                            <w:right w:val="none" w:sz="0" w:space="0" w:color="auto"/>
                          </w:divBdr>
                          <w:divsChild>
                            <w:div w:id="18125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www.medelabreastfeedingus.com/assets/image/badlatch_nipshld.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c76559</dc:creator>
  <cp:lastModifiedBy>Fugate, Karen</cp:lastModifiedBy>
  <cp:revision>2</cp:revision>
  <dcterms:created xsi:type="dcterms:W3CDTF">2014-07-14T19:17:00Z</dcterms:created>
  <dcterms:modified xsi:type="dcterms:W3CDTF">2014-07-14T19:17:00Z</dcterms:modified>
</cp:coreProperties>
</file>