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66D3" w14:textId="395E8B6F" w:rsidR="00F841CB" w:rsidRPr="00511FEB" w:rsidRDefault="00F841CB" w:rsidP="00411CA0">
      <w:pPr>
        <w:autoSpaceDE w:val="0"/>
        <w:autoSpaceDN w:val="0"/>
        <w:adjustRightInd w:val="0"/>
        <w:spacing w:after="0" w:line="240" w:lineRule="auto"/>
        <w:ind w:left="-180"/>
        <w:rPr>
          <w:rFonts w:ascii="Times New Roman" w:hAnsi="Times New Roman" w:cs="Times New Roman"/>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This</w:t>
      </w:r>
      <w:r w:rsidR="004D1708">
        <w:rPr>
          <w:rFonts w:ascii="Arial" w:hAnsi="Arial" w:cs="Arial"/>
        </w:rPr>
        <w:t xml:space="preserve"> </w:t>
      </w:r>
      <w:r w:rsidR="000B5164">
        <w:rPr>
          <w:rFonts w:ascii="Arial" w:hAnsi="Arial" w:cs="Arial"/>
        </w:rPr>
        <w:t xml:space="preserve">SOP </w:t>
      </w:r>
      <w:r w:rsidR="004D1708" w:rsidRPr="00511FEB">
        <w:rPr>
          <w:rFonts w:ascii="Arial" w:hAnsi="Arial" w:cs="Arial"/>
          <w:color w:val="000000"/>
        </w:rPr>
        <w:t>describe</w:t>
      </w:r>
      <w:r w:rsidR="000B5164">
        <w:rPr>
          <w:rFonts w:ascii="Arial" w:hAnsi="Arial" w:cs="Arial"/>
          <w:color w:val="000000"/>
        </w:rPr>
        <w:t>s</w:t>
      </w:r>
      <w:r w:rsidR="004D1708" w:rsidRPr="00511FEB">
        <w:rPr>
          <w:rFonts w:ascii="Arial" w:hAnsi="Arial" w:cs="Arial"/>
          <w:color w:val="000000"/>
        </w:rPr>
        <w:t xml:space="preserve"> th</w:t>
      </w:r>
      <w:r w:rsidR="00411CA0">
        <w:rPr>
          <w:rFonts w:ascii="Arial" w:hAnsi="Arial" w:cs="Arial"/>
          <w:color w:val="000000"/>
        </w:rPr>
        <w:t>e standard procedures to be</w:t>
      </w:r>
      <w:r w:rsidR="000B5164">
        <w:rPr>
          <w:rFonts w:ascii="Arial" w:hAnsi="Arial" w:cs="Arial"/>
          <w:color w:val="000000"/>
        </w:rPr>
        <w:t xml:space="preserve"> followed </w:t>
      </w:r>
      <w:r w:rsidR="00411CA0">
        <w:rPr>
          <w:rFonts w:ascii="Arial" w:hAnsi="Arial" w:cs="Arial"/>
        </w:rPr>
        <w:t>for the collection, transcription</w:t>
      </w:r>
      <w:r w:rsidR="000B5164">
        <w:rPr>
          <w:rFonts w:ascii="Arial" w:hAnsi="Arial" w:cs="Arial"/>
        </w:rPr>
        <w:t xml:space="preserve">, and management of clinical research data </w:t>
      </w:r>
      <w:r w:rsidR="00411CA0" w:rsidRPr="006846E7">
        <w:rPr>
          <w:rFonts w:ascii="Arial" w:hAnsi="Arial" w:cs="Arial"/>
        </w:rPr>
        <w:t xml:space="preserve">to </w:t>
      </w:r>
      <w:r w:rsidR="00411CA0">
        <w:rPr>
          <w:rFonts w:ascii="Arial" w:hAnsi="Arial" w:cs="Arial"/>
        </w:rPr>
        <w:t>Case Report Forms (</w:t>
      </w:r>
      <w:r w:rsidR="00411CA0" w:rsidRPr="006846E7">
        <w:rPr>
          <w:rFonts w:ascii="Arial" w:hAnsi="Arial" w:cs="Arial"/>
        </w:rPr>
        <w:t>CRFs</w:t>
      </w:r>
      <w:r w:rsidR="00411CA0">
        <w:rPr>
          <w:rFonts w:ascii="Arial" w:hAnsi="Arial" w:cs="Arial"/>
        </w:rPr>
        <w:t xml:space="preserve">) </w:t>
      </w:r>
      <w:r w:rsidR="000B5164">
        <w:rPr>
          <w:rFonts w:ascii="Arial" w:hAnsi="Arial" w:cs="Arial"/>
        </w:rPr>
        <w:t>at the CRC.</w:t>
      </w:r>
    </w:p>
    <w:p w14:paraId="24EB66D4"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24EB66D5" w14:textId="5C390DC8" w:rsidR="00D769EC" w:rsidRPr="00D769EC" w:rsidRDefault="00F841CB" w:rsidP="000B7E9D">
      <w:pPr>
        <w:autoSpaceDE w:val="0"/>
        <w:autoSpaceDN w:val="0"/>
        <w:adjustRightInd w:val="0"/>
        <w:spacing w:after="0" w:line="240" w:lineRule="auto"/>
        <w:ind w:left="-180"/>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0B5164">
        <w:rPr>
          <w:rFonts w:ascii="Arial" w:hAnsi="Arial" w:cs="Arial"/>
        </w:rPr>
        <w:t xml:space="preserve">SOP </w:t>
      </w:r>
      <w:r w:rsidR="000B5164" w:rsidRPr="000B5164">
        <w:rPr>
          <w:rFonts w:ascii="Arial" w:hAnsi="Arial" w:cs="Arial"/>
        </w:rPr>
        <w:t xml:space="preserve">applies to </w:t>
      </w:r>
      <w:r w:rsidR="000B5164" w:rsidRPr="000B5164">
        <w:rPr>
          <w:rFonts w:ascii="Arial" w:hAnsi="Arial" w:cs="Arial"/>
          <w:color w:val="000000"/>
        </w:rPr>
        <w:t>data management for all clinical trials involving human subjects</w:t>
      </w:r>
      <w:r w:rsidR="006846E7">
        <w:rPr>
          <w:rFonts w:ascii="Arial" w:hAnsi="Arial" w:cs="Arial"/>
          <w:color w:val="000000"/>
        </w:rPr>
        <w:t xml:space="preserve"> at the CRC.</w:t>
      </w:r>
      <w:r w:rsidR="00411CA0">
        <w:rPr>
          <w:rFonts w:ascii="Arial" w:hAnsi="Arial" w:cs="Arial"/>
          <w:color w:val="000000"/>
        </w:rPr>
        <w:t xml:space="preserve">   </w:t>
      </w:r>
    </w:p>
    <w:p w14:paraId="1809050D" w14:textId="77777777" w:rsidR="0017634C" w:rsidRDefault="00F841CB" w:rsidP="0017634C">
      <w:pPr>
        <w:tabs>
          <w:tab w:val="left" w:pos="2250"/>
        </w:tabs>
        <w:autoSpaceDE w:val="0"/>
        <w:autoSpaceDN w:val="0"/>
        <w:adjustRightInd w:val="0"/>
        <w:spacing w:after="0" w:line="240" w:lineRule="auto"/>
        <w:rPr>
          <w:rFonts w:ascii="Arial" w:hAnsi="Arial" w:cs="Arial"/>
        </w:rPr>
      </w:pPr>
      <w:r w:rsidRPr="00F841CB">
        <w:rPr>
          <w:rFonts w:ascii="Arial" w:hAnsi="Arial" w:cs="Arial"/>
        </w:rPr>
        <w:tab/>
      </w:r>
    </w:p>
    <w:p w14:paraId="46532866" w14:textId="01CF4864" w:rsidR="0017634C" w:rsidRPr="0017634C" w:rsidRDefault="00F841CB" w:rsidP="006D7159">
      <w:pPr>
        <w:tabs>
          <w:tab w:val="left" w:pos="2250"/>
        </w:tabs>
        <w:autoSpaceDE w:val="0"/>
        <w:autoSpaceDN w:val="0"/>
        <w:adjustRightInd w:val="0"/>
        <w:spacing w:after="0" w:line="240" w:lineRule="auto"/>
        <w:ind w:left="-180"/>
        <w:rPr>
          <w:rFonts w:ascii="Arial" w:hAnsi="Arial" w:cs="Arial"/>
        </w:rPr>
      </w:pPr>
      <w:r w:rsidRPr="0017634C">
        <w:rPr>
          <w:rFonts w:ascii="Arial" w:hAnsi="Arial" w:cs="Arial"/>
          <w:b/>
          <w:bCs/>
          <w:spacing w:val="2"/>
        </w:rPr>
        <w:t>RESPONSIBILITY:</w:t>
      </w:r>
      <w:r w:rsidR="00511FEB" w:rsidRPr="0017634C">
        <w:rPr>
          <w:rFonts w:ascii="Arial" w:hAnsi="Arial" w:cs="Arial"/>
          <w:b/>
          <w:bCs/>
          <w:spacing w:val="2"/>
        </w:rPr>
        <w:t xml:space="preserve"> </w:t>
      </w:r>
      <w:r w:rsidR="0017634C" w:rsidRPr="0017634C">
        <w:rPr>
          <w:rFonts w:ascii="Arial" w:hAnsi="Arial" w:cs="Arial"/>
        </w:rPr>
        <w:t>The delegation of responsibility for CRF completion by the investigator should be do</w:t>
      </w:r>
      <w:r w:rsidR="0017634C">
        <w:rPr>
          <w:rFonts w:ascii="Arial" w:hAnsi="Arial" w:cs="Arial"/>
        </w:rPr>
        <w:t>cumented on the appropriate delegation log</w:t>
      </w:r>
      <w:r w:rsidR="0017634C" w:rsidRPr="0017634C">
        <w:rPr>
          <w:rFonts w:ascii="Arial" w:hAnsi="Arial" w:cs="Arial"/>
        </w:rPr>
        <w:t xml:space="preserve">.  CRF completion should only be carried out by the investigator or individuals listed on this form.  </w:t>
      </w:r>
    </w:p>
    <w:p w14:paraId="24EB66D8"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24EB66D9" w14:textId="77777777" w:rsidR="00994C5C" w:rsidRDefault="00F841CB" w:rsidP="005B44EE">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24EB66DA" w14:textId="77777777" w:rsidR="0000055F" w:rsidRDefault="0000055F" w:rsidP="00D769EC">
      <w:pPr>
        <w:tabs>
          <w:tab w:val="left" w:pos="2250"/>
        </w:tabs>
        <w:autoSpaceDE w:val="0"/>
        <w:autoSpaceDN w:val="0"/>
        <w:adjustRightInd w:val="0"/>
        <w:spacing w:after="0" w:line="240" w:lineRule="auto"/>
        <w:rPr>
          <w:rFonts w:ascii="Arial" w:hAnsi="Arial" w:cs="Arial"/>
        </w:rPr>
      </w:pPr>
    </w:p>
    <w:p w14:paraId="7002E223" w14:textId="77777777" w:rsidR="006B2527" w:rsidRDefault="000857BA" w:rsidP="006B2527">
      <w:pPr>
        <w:spacing w:line="240" w:lineRule="auto"/>
        <w:ind w:left="-180"/>
        <w:rPr>
          <w:rFonts w:ascii="Arial" w:hAnsi="Arial" w:cs="Arial"/>
          <w:lang w:val="en"/>
        </w:rPr>
      </w:pPr>
      <w:r w:rsidRPr="000857BA">
        <w:rPr>
          <w:rFonts w:ascii="Arial" w:hAnsi="Arial" w:cs="Arial"/>
          <w:b/>
        </w:rPr>
        <w:t>Case Report Form (CRF):</w:t>
      </w:r>
      <w:r>
        <w:rPr>
          <w:rFonts w:ascii="Arial" w:hAnsi="Arial" w:cs="Arial"/>
        </w:rPr>
        <w:t xml:space="preserve">  </w:t>
      </w:r>
      <w:r w:rsidR="00545545" w:rsidRPr="00545545">
        <w:rPr>
          <w:rFonts w:ascii="Arial" w:hAnsi="Arial" w:cs="Arial"/>
          <w:lang w:val="en"/>
        </w:rPr>
        <w:t>A</w:t>
      </w:r>
      <w:r w:rsidRPr="00545545">
        <w:rPr>
          <w:rFonts w:ascii="Arial" w:hAnsi="Arial" w:cs="Arial"/>
          <w:lang w:val="en"/>
        </w:rPr>
        <w:t xml:space="preserve"> paper or electronic questionnaire specifically used in clinical trial research. The Case Report Form is the tool used by the sponsor of the </w:t>
      </w:r>
      <w:r w:rsidR="00545545" w:rsidRPr="00545545">
        <w:rPr>
          <w:rFonts w:ascii="Arial" w:hAnsi="Arial" w:cs="Arial"/>
          <w:lang w:val="en"/>
        </w:rPr>
        <w:t>clinical trial</w:t>
      </w:r>
      <w:r w:rsidRPr="00545545">
        <w:rPr>
          <w:rFonts w:ascii="Arial" w:hAnsi="Arial" w:cs="Arial"/>
          <w:lang w:val="en"/>
        </w:rPr>
        <w:t xml:space="preserve"> to collect data from each participating site. All data on each patient participating in a clinical trial are held and/or documented in the CRF, including </w:t>
      </w:r>
      <w:r w:rsidR="00545545" w:rsidRPr="00545545">
        <w:rPr>
          <w:rFonts w:ascii="Arial" w:hAnsi="Arial" w:cs="Arial"/>
          <w:lang w:val="en"/>
        </w:rPr>
        <w:t>adverse even</w:t>
      </w:r>
      <w:bookmarkStart w:id="0" w:name="_GoBack"/>
      <w:bookmarkEnd w:id="0"/>
      <w:r w:rsidR="00545545" w:rsidRPr="00545545">
        <w:rPr>
          <w:rFonts w:ascii="Arial" w:hAnsi="Arial" w:cs="Arial"/>
          <w:lang w:val="en"/>
        </w:rPr>
        <w:t>ts.</w:t>
      </w:r>
    </w:p>
    <w:p w14:paraId="44B9DC65" w14:textId="2ED1472E" w:rsidR="006B2527" w:rsidRPr="006B2527" w:rsidRDefault="006B2527" w:rsidP="006B2527">
      <w:pPr>
        <w:spacing w:line="240" w:lineRule="auto"/>
        <w:ind w:left="-180"/>
        <w:rPr>
          <w:rFonts w:ascii="Arial" w:hAnsi="Arial" w:cs="Arial"/>
          <w:lang w:val="en"/>
        </w:rPr>
      </w:pPr>
      <w:r w:rsidRPr="006B2527">
        <w:rPr>
          <w:rFonts w:ascii="Arial" w:hAnsi="Arial" w:cs="Arial"/>
          <w:b/>
        </w:rPr>
        <w:t>Data clarification form (DCF)</w:t>
      </w:r>
      <w:r w:rsidR="00654BCA">
        <w:rPr>
          <w:rFonts w:ascii="Arial" w:hAnsi="Arial" w:cs="Arial"/>
        </w:rPr>
        <w:t xml:space="preserve">: </w:t>
      </w:r>
      <w:r w:rsidR="002D1214">
        <w:rPr>
          <w:rFonts w:ascii="Arial" w:hAnsi="Arial" w:cs="Arial"/>
        </w:rPr>
        <w:t xml:space="preserve"> </w:t>
      </w:r>
      <w:r w:rsidRPr="006B2527">
        <w:rPr>
          <w:rFonts w:ascii="Arial" w:hAnsi="Arial" w:cs="Arial"/>
        </w:rPr>
        <w:t>A document that requests additional information and/or clarification of data entered on a specific case report form and with its completion with dated signature(s) serves as confirmation, clarification and/or correction of the original data entry.</w:t>
      </w:r>
    </w:p>
    <w:p w14:paraId="24EB66DD" w14:textId="3015FD2A" w:rsidR="000857BA" w:rsidRDefault="000857BA" w:rsidP="00411CA0">
      <w:pPr>
        <w:spacing w:line="240" w:lineRule="auto"/>
        <w:ind w:left="-180"/>
        <w:rPr>
          <w:rFonts w:ascii="Arial" w:hAnsi="Arial" w:cs="Arial"/>
        </w:rPr>
      </w:pPr>
      <w:r w:rsidRPr="000857BA">
        <w:rPr>
          <w:rFonts w:ascii="Arial" w:hAnsi="Arial" w:cs="Arial"/>
          <w:b/>
        </w:rPr>
        <w:t>Documentation:</w:t>
      </w:r>
      <w:r w:rsidRPr="000857BA">
        <w:rPr>
          <w:rFonts w:ascii="Arial" w:hAnsi="Arial" w:cs="Arial"/>
        </w:rPr>
        <w:t xml:space="preserve">  All records, in any form (including, but not limited to, written, electronic, magnetic, and optical records; and scans, x-rays, and electrocardiograms) that describe or record the methods, conduct, and/or results of a trial, the factors affecting a trial, and the actions taken.</w:t>
      </w:r>
    </w:p>
    <w:p w14:paraId="2CED72F0" w14:textId="50CCADA0" w:rsidR="006D7159" w:rsidRPr="006D7159" w:rsidRDefault="006D7159" w:rsidP="006D7159">
      <w:pPr>
        <w:tabs>
          <w:tab w:val="left" w:pos="-180"/>
        </w:tabs>
        <w:autoSpaceDE w:val="0"/>
        <w:autoSpaceDN w:val="0"/>
        <w:adjustRightInd w:val="0"/>
        <w:spacing w:after="0" w:line="240" w:lineRule="auto"/>
        <w:ind w:left="-180"/>
        <w:rPr>
          <w:rFonts w:ascii="Arial" w:hAnsi="Arial" w:cs="Arial"/>
        </w:rPr>
      </w:pPr>
      <w:r w:rsidRPr="006D7159">
        <w:rPr>
          <w:rFonts w:ascii="Arial" w:hAnsi="Arial" w:cs="Arial"/>
          <w:b/>
        </w:rPr>
        <w:t>Electronic Case Report Form (eCRF):</w:t>
      </w:r>
      <w:r w:rsidR="00654BCA">
        <w:rPr>
          <w:rFonts w:ascii="Arial" w:hAnsi="Arial" w:cs="Arial"/>
          <w:b/>
        </w:rPr>
        <w:t xml:space="preserve"> </w:t>
      </w:r>
      <w:r w:rsidRPr="006D7159">
        <w:rPr>
          <w:rFonts w:ascii="Arial" w:hAnsi="Arial" w:cs="Arial"/>
          <w:b/>
        </w:rPr>
        <w:t xml:space="preserve"> </w:t>
      </w:r>
      <w:r w:rsidRPr="006D7159">
        <w:rPr>
          <w:rFonts w:ascii="Arial" w:hAnsi="Arial" w:cs="Arial"/>
        </w:rPr>
        <w:t>Auditable electronic record designed to capture information required by the clinical trial protocol to be reported to the sponsor on each trial subject. A CRF in which related data items and their associated comments, notes, and signatures are linked electronically.</w:t>
      </w:r>
    </w:p>
    <w:p w14:paraId="54F8F1F5" w14:textId="77777777" w:rsidR="006D7159" w:rsidRPr="006D7159" w:rsidRDefault="006D7159" w:rsidP="006D7159">
      <w:pPr>
        <w:autoSpaceDE w:val="0"/>
        <w:autoSpaceDN w:val="0"/>
        <w:adjustRightInd w:val="0"/>
        <w:spacing w:after="0" w:line="240" w:lineRule="auto"/>
        <w:rPr>
          <w:rFonts w:ascii="TimesNewRoman" w:hAnsi="TimesNewRoman" w:cs="TimesNewRoman"/>
        </w:rPr>
      </w:pPr>
    </w:p>
    <w:p w14:paraId="7FE094D4" w14:textId="77777777" w:rsidR="006B2527" w:rsidRDefault="000857BA" w:rsidP="006B2527">
      <w:pPr>
        <w:spacing w:line="240" w:lineRule="auto"/>
        <w:ind w:left="-180"/>
        <w:rPr>
          <w:rFonts w:ascii="Arial" w:hAnsi="Arial" w:cs="Arial"/>
        </w:rPr>
      </w:pPr>
      <w:r w:rsidRPr="000857BA">
        <w:rPr>
          <w:rFonts w:ascii="Arial" w:hAnsi="Arial" w:cs="Arial"/>
          <w:b/>
        </w:rPr>
        <w:t>Quality Assurance (QA):</w:t>
      </w:r>
      <w:r w:rsidRPr="000857BA">
        <w:rPr>
          <w:rFonts w:ascii="Arial" w:hAnsi="Arial" w:cs="Arial"/>
        </w:rPr>
        <w:t xml:space="preserve">  All those planned and systematic actions that are established to ensure that the trial is performed and the data are generated, documented (recorded), and reported in compliance with GCP and the applicable regulatory requirement(s).</w:t>
      </w:r>
      <w:r w:rsidR="000921D3">
        <w:rPr>
          <w:rFonts w:ascii="Arial" w:hAnsi="Arial" w:cs="Arial"/>
        </w:rPr>
        <w:t xml:space="preserve">  </w:t>
      </w:r>
    </w:p>
    <w:p w14:paraId="2C6AA338" w14:textId="63336EEA" w:rsidR="006B2527" w:rsidRDefault="006B2527" w:rsidP="006B2527">
      <w:pPr>
        <w:spacing w:line="240" w:lineRule="auto"/>
        <w:ind w:left="-180"/>
        <w:rPr>
          <w:rStyle w:val="style11"/>
          <w:rFonts w:ascii="Arial" w:hAnsi="Arial" w:cs="Arial"/>
          <w:bCs/>
          <w:color w:val="000000"/>
        </w:rPr>
      </w:pPr>
      <w:r w:rsidRPr="006B2527">
        <w:rPr>
          <w:rStyle w:val="style11"/>
          <w:rFonts w:ascii="Arial" w:hAnsi="Arial" w:cs="Arial"/>
          <w:b/>
          <w:bCs/>
          <w:color w:val="000000"/>
        </w:rPr>
        <w:t>Query</w:t>
      </w:r>
      <w:r w:rsidR="002D1214">
        <w:rPr>
          <w:rStyle w:val="style11"/>
          <w:rFonts w:ascii="Arial" w:hAnsi="Arial" w:cs="Arial"/>
          <w:bCs/>
          <w:color w:val="000000"/>
        </w:rPr>
        <w:t xml:space="preserve">:  Any question </w:t>
      </w:r>
      <w:r w:rsidRPr="006B2527">
        <w:rPr>
          <w:rStyle w:val="style11"/>
          <w:rFonts w:ascii="Arial" w:hAnsi="Arial" w:cs="Arial"/>
          <w:bCs/>
          <w:color w:val="000000"/>
        </w:rPr>
        <w:t>raised during the review of a particular entry on a case report form which is open to different interpretations including various data errors</w:t>
      </w:r>
      <w:r>
        <w:rPr>
          <w:rStyle w:val="style11"/>
          <w:rFonts w:ascii="Arial" w:hAnsi="Arial" w:cs="Arial"/>
          <w:bCs/>
          <w:color w:val="000000"/>
        </w:rPr>
        <w:t>.</w:t>
      </w:r>
    </w:p>
    <w:p w14:paraId="1D5F15AC" w14:textId="0C4C101D" w:rsidR="006B2527" w:rsidRPr="006B2527" w:rsidRDefault="006B2527" w:rsidP="006B2527">
      <w:pPr>
        <w:spacing w:line="240" w:lineRule="auto"/>
        <w:ind w:left="-180"/>
        <w:rPr>
          <w:rFonts w:ascii="Arial" w:hAnsi="Arial" w:cs="Arial"/>
          <w:bCs/>
          <w:color w:val="000000"/>
        </w:rPr>
      </w:pPr>
      <w:r w:rsidRPr="006B2527">
        <w:rPr>
          <w:rFonts w:ascii="Arial" w:hAnsi="Arial" w:cs="Arial"/>
          <w:b/>
        </w:rPr>
        <w:t>Source Data</w:t>
      </w:r>
      <w:r w:rsidR="002D1214">
        <w:rPr>
          <w:rFonts w:ascii="Arial" w:hAnsi="Arial" w:cs="Arial"/>
        </w:rPr>
        <w:t xml:space="preserve">: </w:t>
      </w:r>
      <w:r w:rsidRPr="006B2527">
        <w:rPr>
          <w:rFonts w:ascii="Arial" w:hAnsi="Arial" w:cs="Arial"/>
        </w:rPr>
        <w:t>All information contained in original records and certified copies of results, observations or other facets required for the reconstruction and evaluation of the research that is contained in source documents.</w:t>
      </w:r>
    </w:p>
    <w:p w14:paraId="0AB3AAE3" w14:textId="77777777" w:rsidR="006B2527" w:rsidRPr="006B2527" w:rsidRDefault="006B2527" w:rsidP="006B2527">
      <w:pPr>
        <w:spacing w:line="240" w:lineRule="auto"/>
        <w:ind w:left="-180"/>
        <w:rPr>
          <w:rFonts w:ascii="Arial" w:hAnsi="Arial" w:cs="Arial"/>
        </w:rPr>
      </w:pPr>
    </w:p>
    <w:p w14:paraId="24EB66DF" w14:textId="2FEDCE2C" w:rsidR="002D3B18" w:rsidRDefault="000921D3" w:rsidP="00411CA0">
      <w:pPr>
        <w:spacing w:line="240" w:lineRule="auto"/>
        <w:ind w:left="-180"/>
        <w:rPr>
          <w:rFonts w:ascii="Arial" w:hAnsi="Arial" w:cs="Arial"/>
        </w:rPr>
      </w:pPr>
      <w:r>
        <w:rPr>
          <w:rFonts w:ascii="Arial" w:hAnsi="Arial" w:cs="Arial"/>
        </w:rPr>
        <w:t xml:space="preserve"> </w:t>
      </w:r>
    </w:p>
    <w:p w14:paraId="31C28205" w14:textId="2302BD7F" w:rsidR="006B2527" w:rsidRDefault="006B2527" w:rsidP="00225689">
      <w:pPr>
        <w:spacing w:line="240" w:lineRule="auto"/>
        <w:ind w:left="-180"/>
        <w:rPr>
          <w:rFonts w:ascii="Arial" w:hAnsi="Arial" w:cs="Arial"/>
          <w:b/>
        </w:rPr>
      </w:pPr>
      <w:r>
        <w:rPr>
          <w:rFonts w:ascii="Arial" w:hAnsi="Arial" w:cs="Arial"/>
          <w:b/>
        </w:rPr>
        <w:lastRenderedPageBreak/>
        <w:t>Definitions (cont.):</w:t>
      </w:r>
    </w:p>
    <w:p w14:paraId="25103E65" w14:textId="0E02D96E" w:rsidR="006D7159" w:rsidRPr="00545545" w:rsidRDefault="006D7159" w:rsidP="00225689">
      <w:pPr>
        <w:spacing w:line="240" w:lineRule="auto"/>
        <w:ind w:left="-180"/>
        <w:rPr>
          <w:rFonts w:ascii="Arial" w:hAnsi="Arial" w:cs="Arial"/>
        </w:rPr>
      </w:pPr>
      <w:r>
        <w:rPr>
          <w:rFonts w:ascii="Arial" w:hAnsi="Arial" w:cs="Arial"/>
          <w:b/>
        </w:rPr>
        <w:t>Source Documents</w:t>
      </w:r>
      <w:r w:rsidRPr="006D7159">
        <w:rPr>
          <w:rFonts w:ascii="Arial" w:hAnsi="Arial" w:cs="Arial"/>
          <w:b/>
        </w:rPr>
        <w:t xml:space="preserve">: </w:t>
      </w:r>
      <w:r w:rsidRPr="006D7159">
        <w:rPr>
          <w:rFonts w:ascii="Arial" w:hAnsi="Arial" w:cs="Arial"/>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r w:rsidR="000921D3">
        <w:rPr>
          <w:rFonts w:ascii="Arial" w:hAnsi="Arial" w:cs="Arial"/>
        </w:rPr>
        <w:t xml:space="preserve">   </w:t>
      </w:r>
    </w:p>
    <w:p w14:paraId="24EB66E0" w14:textId="71473CB4" w:rsidR="003E4775" w:rsidRDefault="006B2527" w:rsidP="00225689">
      <w:pPr>
        <w:autoSpaceDE w:val="0"/>
        <w:autoSpaceDN w:val="0"/>
        <w:adjustRightInd w:val="0"/>
        <w:spacing w:before="11" w:after="0" w:line="252" w:lineRule="auto"/>
        <w:ind w:left="-180" w:right="353" w:hanging="90"/>
        <w:rPr>
          <w:rFonts w:ascii="Arial" w:hAnsi="Arial" w:cs="Arial"/>
          <w:b/>
          <w:bCs/>
          <w:spacing w:val="2"/>
          <w:w w:val="103"/>
        </w:rPr>
      </w:pPr>
      <w:r>
        <w:rPr>
          <w:rFonts w:ascii="Arial" w:hAnsi="Arial" w:cs="Arial"/>
          <w:b/>
          <w:bCs/>
          <w:spacing w:val="2"/>
          <w:w w:val="103"/>
        </w:rPr>
        <w:t>PROCEDURE:</w:t>
      </w:r>
    </w:p>
    <w:p w14:paraId="1184F82B" w14:textId="77777777" w:rsidR="00026E55" w:rsidRDefault="00026E55" w:rsidP="006B2527">
      <w:pPr>
        <w:autoSpaceDE w:val="0"/>
        <w:autoSpaceDN w:val="0"/>
        <w:adjustRightInd w:val="0"/>
        <w:spacing w:before="11" w:after="0" w:line="252" w:lineRule="auto"/>
        <w:ind w:left="90" w:right="353" w:hanging="90"/>
        <w:rPr>
          <w:rFonts w:ascii="Arial" w:hAnsi="Arial" w:cs="Arial"/>
          <w:b/>
          <w:bCs/>
          <w:spacing w:val="2"/>
          <w:w w:val="103"/>
        </w:rPr>
      </w:pPr>
    </w:p>
    <w:p w14:paraId="46A003D7" w14:textId="2764DB0E" w:rsidR="00654BCA" w:rsidRPr="00654BCA" w:rsidRDefault="00026E55" w:rsidP="00654BCA">
      <w:pPr>
        <w:pStyle w:val="ListParagraph"/>
        <w:numPr>
          <w:ilvl w:val="0"/>
          <w:numId w:val="39"/>
        </w:numPr>
        <w:spacing w:after="0" w:line="240" w:lineRule="auto"/>
        <w:ind w:left="90"/>
        <w:rPr>
          <w:rFonts w:ascii="Arial" w:hAnsi="Arial" w:cs="Arial"/>
          <w:color w:val="000000"/>
        </w:rPr>
      </w:pPr>
      <w:r>
        <w:rPr>
          <w:rFonts w:ascii="Arial" w:eastAsia="Times New Roman" w:hAnsi="Arial" w:cs="Arial"/>
          <w:color w:val="000000"/>
        </w:rPr>
        <w:t>Research staff members who complete</w:t>
      </w:r>
      <w:r w:rsidR="006B2527" w:rsidRPr="00A732AC">
        <w:rPr>
          <w:rFonts w:ascii="Arial" w:eastAsia="Times New Roman" w:hAnsi="Arial" w:cs="Arial"/>
          <w:color w:val="000000"/>
        </w:rPr>
        <w:t xml:space="preserve"> CRFs and eCRFs must receive prior training</w:t>
      </w:r>
      <w:r w:rsidR="00306A8C" w:rsidRPr="00A732AC">
        <w:rPr>
          <w:rFonts w:ascii="Arial" w:eastAsia="Times New Roman" w:hAnsi="Arial" w:cs="Arial"/>
          <w:color w:val="000000"/>
        </w:rPr>
        <w:t xml:space="preserve"> either by the sponsor or research designee</w:t>
      </w:r>
      <w:r w:rsidR="00A732AC" w:rsidRPr="00A732AC">
        <w:rPr>
          <w:rFonts w:ascii="Arial" w:eastAsia="Times New Roman" w:hAnsi="Arial" w:cs="Arial"/>
          <w:color w:val="000000"/>
        </w:rPr>
        <w:t xml:space="preserve">. Proof of </w:t>
      </w:r>
      <w:r w:rsidR="00306A8C" w:rsidRPr="00A732AC">
        <w:rPr>
          <w:rFonts w:ascii="Arial" w:eastAsia="Times New Roman" w:hAnsi="Arial" w:cs="Arial"/>
          <w:color w:val="000000"/>
        </w:rPr>
        <w:t xml:space="preserve">individual staff training </w:t>
      </w:r>
      <w:r w:rsidR="00A732AC" w:rsidRPr="00A732AC">
        <w:rPr>
          <w:rFonts w:ascii="Arial" w:eastAsia="Times New Roman" w:hAnsi="Arial" w:cs="Arial"/>
          <w:color w:val="000000"/>
        </w:rPr>
        <w:t xml:space="preserve">should be documented in training </w:t>
      </w:r>
      <w:r w:rsidR="00306A8C" w:rsidRPr="00A732AC">
        <w:rPr>
          <w:rFonts w:ascii="Arial" w:eastAsia="Times New Roman" w:hAnsi="Arial" w:cs="Arial"/>
          <w:color w:val="000000"/>
        </w:rPr>
        <w:t>log.</w:t>
      </w:r>
      <w:r w:rsidR="006B2527" w:rsidRPr="00A732AC">
        <w:rPr>
          <w:rFonts w:ascii="Arial" w:eastAsia="Times New Roman" w:hAnsi="Arial" w:cs="Arial"/>
          <w:color w:val="000000"/>
        </w:rPr>
        <w:t xml:space="preserve"> </w:t>
      </w:r>
    </w:p>
    <w:p w14:paraId="7FAA49AB" w14:textId="77777777" w:rsidR="00654BCA" w:rsidRPr="00654BCA" w:rsidRDefault="00654BCA" w:rsidP="00654BCA">
      <w:pPr>
        <w:pStyle w:val="ListParagraph"/>
        <w:spacing w:after="0" w:line="240" w:lineRule="auto"/>
        <w:ind w:left="90"/>
        <w:rPr>
          <w:rFonts w:ascii="Arial" w:hAnsi="Arial" w:cs="Arial"/>
          <w:color w:val="000000"/>
        </w:rPr>
      </w:pPr>
    </w:p>
    <w:p w14:paraId="5EDBCC8B" w14:textId="4B667F86" w:rsidR="00654BCA" w:rsidRPr="00654BCA" w:rsidRDefault="006B252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color w:val="000000"/>
        </w:rPr>
        <w:t xml:space="preserve">Only research staff trained on the </w:t>
      </w:r>
      <w:r w:rsidR="00654BCA">
        <w:rPr>
          <w:rFonts w:ascii="Arial" w:hAnsi="Arial" w:cs="Arial"/>
          <w:color w:val="000000"/>
        </w:rPr>
        <w:t xml:space="preserve">remote data capture </w:t>
      </w:r>
      <w:r w:rsidRPr="00654BCA">
        <w:rPr>
          <w:rFonts w:ascii="Arial" w:hAnsi="Arial" w:cs="Arial"/>
          <w:color w:val="000000"/>
        </w:rPr>
        <w:t>system will enter data for the study using their unique and privat</w:t>
      </w:r>
      <w:r w:rsidR="00654BCA">
        <w:rPr>
          <w:rFonts w:ascii="Arial" w:hAnsi="Arial" w:cs="Arial"/>
          <w:color w:val="000000"/>
        </w:rPr>
        <w:t>e u</w:t>
      </w:r>
      <w:r w:rsidRPr="00654BCA">
        <w:rPr>
          <w:rFonts w:ascii="Arial" w:hAnsi="Arial" w:cs="Arial"/>
          <w:color w:val="000000"/>
        </w:rPr>
        <w:t>sername and password.</w:t>
      </w:r>
      <w:r w:rsidR="00A732AC" w:rsidRPr="00654BCA">
        <w:rPr>
          <w:rFonts w:ascii="Arial" w:hAnsi="Arial" w:cs="Arial"/>
          <w:color w:val="000000"/>
        </w:rPr>
        <w:t xml:space="preserve"> </w:t>
      </w:r>
      <w:r w:rsidRPr="00654BCA">
        <w:rPr>
          <w:rFonts w:ascii="Arial" w:hAnsi="Arial" w:cs="Arial"/>
        </w:rPr>
        <w:t>Traini</w:t>
      </w:r>
      <w:r w:rsidR="00654BCA">
        <w:rPr>
          <w:rFonts w:ascii="Arial" w:hAnsi="Arial" w:cs="Arial"/>
        </w:rPr>
        <w:t>ng certifications for eCRFs must</w:t>
      </w:r>
      <w:r w:rsidRPr="00654BCA">
        <w:rPr>
          <w:rFonts w:ascii="Arial" w:hAnsi="Arial" w:cs="Arial"/>
        </w:rPr>
        <w:t xml:space="preserve"> be filed in the regulatory binder. </w:t>
      </w:r>
    </w:p>
    <w:p w14:paraId="6E4CE964" w14:textId="77777777" w:rsidR="00654BCA" w:rsidRPr="00654BCA" w:rsidRDefault="00654BCA" w:rsidP="00654BCA">
      <w:pPr>
        <w:pStyle w:val="ListParagraph"/>
        <w:rPr>
          <w:rFonts w:ascii="Arial" w:hAnsi="Arial" w:cs="Arial"/>
        </w:rPr>
      </w:pPr>
    </w:p>
    <w:p w14:paraId="1724C0B6" w14:textId="77777777" w:rsidR="00654BCA" w:rsidRPr="00654BCA" w:rsidRDefault="008D07C3"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Record all documentation in black ballpoint pen. Do not use pencils.</w:t>
      </w:r>
    </w:p>
    <w:p w14:paraId="760304D6" w14:textId="77777777" w:rsidR="00654BCA" w:rsidRPr="00654BCA" w:rsidRDefault="00654BCA" w:rsidP="00654BCA">
      <w:pPr>
        <w:pStyle w:val="ListParagraph"/>
        <w:rPr>
          <w:rFonts w:ascii="Arial" w:hAnsi="Arial" w:cs="Arial"/>
        </w:rPr>
      </w:pPr>
    </w:p>
    <w:p w14:paraId="2A90FFAB" w14:textId="77777777" w:rsidR="00654BCA" w:rsidRPr="00654BCA" w:rsidRDefault="00A146D0"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 xml:space="preserve">Ensure that all entries are </w:t>
      </w:r>
      <w:r w:rsidR="001A7A41" w:rsidRPr="00654BCA">
        <w:rPr>
          <w:rFonts w:ascii="Arial" w:hAnsi="Arial" w:cs="Arial"/>
        </w:rPr>
        <w:t xml:space="preserve">accurate, </w:t>
      </w:r>
      <w:r w:rsidRPr="00654BCA">
        <w:rPr>
          <w:rFonts w:ascii="Arial" w:hAnsi="Arial" w:cs="Arial"/>
        </w:rPr>
        <w:t>legible</w:t>
      </w:r>
      <w:r w:rsidR="001A7A41" w:rsidRPr="00654BCA">
        <w:rPr>
          <w:rFonts w:ascii="Arial" w:hAnsi="Arial" w:cs="Arial"/>
        </w:rPr>
        <w:t>, and verifiable with appropriate source docu</w:t>
      </w:r>
      <w:r w:rsidR="00306A8C" w:rsidRPr="00654BCA">
        <w:rPr>
          <w:rFonts w:ascii="Arial" w:hAnsi="Arial" w:cs="Arial"/>
        </w:rPr>
        <w:t>m</w:t>
      </w:r>
      <w:r w:rsidR="001A7A41" w:rsidRPr="00654BCA">
        <w:rPr>
          <w:rFonts w:ascii="Arial" w:hAnsi="Arial" w:cs="Arial"/>
        </w:rPr>
        <w:t>ents.</w:t>
      </w:r>
    </w:p>
    <w:p w14:paraId="671A5C97" w14:textId="77777777" w:rsidR="00654BCA" w:rsidRPr="00654BCA" w:rsidRDefault="00654BCA" w:rsidP="00654BCA">
      <w:pPr>
        <w:pStyle w:val="ListParagraph"/>
        <w:rPr>
          <w:rFonts w:ascii="Arial" w:hAnsi="Arial" w:cs="Arial"/>
        </w:rPr>
      </w:pPr>
    </w:p>
    <w:p w14:paraId="6C6B4AE5" w14:textId="17AD1C10" w:rsidR="00A146D0" w:rsidRPr="00654BCA" w:rsidRDefault="00A146D0"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As required by the protocol, remove patient identifiers from the source document copies and the CRF. Label these documents with the subject identification code as defined by the sponsor.</w:t>
      </w:r>
    </w:p>
    <w:p w14:paraId="7611997D" w14:textId="77777777" w:rsidR="00654BCA" w:rsidRPr="00654BCA" w:rsidRDefault="00654BCA" w:rsidP="00654BCA">
      <w:pPr>
        <w:pStyle w:val="ListParagraph"/>
        <w:rPr>
          <w:rFonts w:ascii="Arial" w:hAnsi="Arial" w:cs="Arial"/>
          <w:color w:val="000000"/>
        </w:rPr>
      </w:pPr>
    </w:p>
    <w:p w14:paraId="09A5D3AE" w14:textId="77777777" w:rsidR="00654BCA"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Complete all fields on the case re</w:t>
      </w:r>
      <w:r w:rsidR="003E4775" w:rsidRPr="00654BCA">
        <w:rPr>
          <w:rFonts w:ascii="Arial" w:hAnsi="Arial" w:cs="Arial"/>
        </w:rPr>
        <w:t xml:space="preserve">port forms (CRF’s) according to </w:t>
      </w:r>
      <w:r w:rsidRPr="00654BCA">
        <w:rPr>
          <w:rFonts w:ascii="Arial" w:hAnsi="Arial" w:cs="Arial"/>
        </w:rPr>
        <w:t>sponsor specifications.</w:t>
      </w:r>
      <w:r w:rsidR="00183E96" w:rsidRPr="00654BCA">
        <w:rPr>
          <w:rFonts w:ascii="Arial" w:hAnsi="Arial" w:cs="Arial"/>
        </w:rPr>
        <w:t xml:space="preserve"> If data are unavailable then write ‘unknown’, ‘not applicable’ or ‘missing’ on the CRF. Do not leave blank spaces.</w:t>
      </w:r>
    </w:p>
    <w:p w14:paraId="28EDCFD7" w14:textId="77777777" w:rsidR="00654BCA" w:rsidRDefault="00654BCA" w:rsidP="00654BCA">
      <w:pPr>
        <w:pStyle w:val="ListParagraph"/>
      </w:pPr>
    </w:p>
    <w:p w14:paraId="57DB0897" w14:textId="77777777" w:rsidR="00654BCA" w:rsidRPr="00654BCA" w:rsidRDefault="00183E96"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Do not create additional fields on the CRF.  Provide only requested information</w:t>
      </w:r>
      <w:r>
        <w:t>.</w:t>
      </w:r>
    </w:p>
    <w:p w14:paraId="66946F78" w14:textId="77777777" w:rsidR="00654BCA" w:rsidRPr="00654BCA" w:rsidRDefault="00654BCA" w:rsidP="00654BCA">
      <w:pPr>
        <w:pStyle w:val="ListParagraph"/>
        <w:rPr>
          <w:rFonts w:ascii="Arial" w:hAnsi="Arial" w:cs="Arial"/>
        </w:rPr>
      </w:pPr>
    </w:p>
    <w:p w14:paraId="4819DDC3" w14:textId="77777777" w:rsidR="00654BCA"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Correct an error by striking through the e</w:t>
      </w:r>
      <w:r w:rsidR="003E4775" w:rsidRPr="00654BCA">
        <w:rPr>
          <w:rFonts w:ascii="Arial" w:hAnsi="Arial" w:cs="Arial"/>
        </w:rPr>
        <w:t>rror</w:t>
      </w:r>
      <w:r w:rsidR="00455E01" w:rsidRPr="00654BCA">
        <w:rPr>
          <w:rFonts w:ascii="Arial" w:hAnsi="Arial" w:cs="Arial"/>
        </w:rPr>
        <w:t xml:space="preserve"> without obliterating the original entry</w:t>
      </w:r>
      <w:r w:rsidR="003E4775" w:rsidRPr="00654BCA">
        <w:rPr>
          <w:rFonts w:ascii="Arial" w:hAnsi="Arial" w:cs="Arial"/>
        </w:rPr>
        <w:t xml:space="preserve">, dating and initialing it, </w:t>
      </w:r>
      <w:r w:rsidR="00C12BF5" w:rsidRPr="00654BCA">
        <w:rPr>
          <w:rFonts w:ascii="Arial" w:hAnsi="Arial" w:cs="Arial"/>
        </w:rPr>
        <w:t>and explaining</w:t>
      </w:r>
      <w:r w:rsidR="00455E01" w:rsidRPr="00654BCA">
        <w:rPr>
          <w:rFonts w:ascii="Arial" w:hAnsi="Arial" w:cs="Arial"/>
        </w:rPr>
        <w:t xml:space="preserve"> the correction. </w:t>
      </w:r>
      <w:r w:rsidR="00411CA0" w:rsidRPr="00654BCA">
        <w:rPr>
          <w:rFonts w:ascii="Arial" w:hAnsi="Arial" w:cs="Arial"/>
          <w:u w:val="single"/>
        </w:rPr>
        <w:t>Never</w:t>
      </w:r>
      <w:r w:rsidR="00183E96" w:rsidRPr="00654BCA">
        <w:rPr>
          <w:rFonts w:ascii="Arial" w:hAnsi="Arial" w:cs="Arial"/>
        </w:rPr>
        <w:t xml:space="preserve"> use correction fluid or obliterate entries made on the CRF.</w:t>
      </w:r>
    </w:p>
    <w:p w14:paraId="5064CA71" w14:textId="77777777" w:rsidR="00654BCA" w:rsidRPr="00654BCA" w:rsidRDefault="00654BCA" w:rsidP="00654BCA">
      <w:pPr>
        <w:pStyle w:val="ListParagraph"/>
        <w:rPr>
          <w:rFonts w:ascii="Arial" w:hAnsi="Arial" w:cs="Arial"/>
        </w:rPr>
      </w:pPr>
    </w:p>
    <w:p w14:paraId="44C0E6CA" w14:textId="77777777" w:rsidR="00654BCA"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Ensure that data for the CR</w:t>
      </w:r>
      <w:r w:rsidR="003E4775" w:rsidRPr="00654BCA">
        <w:rPr>
          <w:rFonts w:ascii="Arial" w:hAnsi="Arial" w:cs="Arial"/>
        </w:rPr>
        <w:t xml:space="preserve">Fs are transcribed promptly </w:t>
      </w:r>
      <w:r w:rsidR="005603DC" w:rsidRPr="00654BCA">
        <w:rPr>
          <w:rFonts w:ascii="Arial" w:hAnsi="Arial" w:cs="Arial"/>
        </w:rPr>
        <w:t xml:space="preserve">after the each subject visit </w:t>
      </w:r>
      <w:r w:rsidR="003E4775" w:rsidRPr="00654BCA">
        <w:rPr>
          <w:rFonts w:ascii="Arial" w:hAnsi="Arial" w:cs="Arial"/>
        </w:rPr>
        <w:t xml:space="preserve">and </w:t>
      </w:r>
      <w:r w:rsidRPr="00654BCA">
        <w:rPr>
          <w:rFonts w:ascii="Arial" w:hAnsi="Arial" w:cs="Arial"/>
        </w:rPr>
        <w:t xml:space="preserve">accurately from the </w:t>
      </w:r>
      <w:r w:rsidR="003E4775" w:rsidRPr="00654BCA">
        <w:rPr>
          <w:rFonts w:ascii="Arial" w:hAnsi="Arial" w:cs="Arial"/>
        </w:rPr>
        <w:t xml:space="preserve">source documentation. Institute quality </w:t>
      </w:r>
      <w:r w:rsidRPr="00654BCA">
        <w:rPr>
          <w:rFonts w:ascii="Arial" w:hAnsi="Arial" w:cs="Arial"/>
        </w:rPr>
        <w:t>assurance measures, such as “double</w:t>
      </w:r>
      <w:r w:rsidR="003E4775" w:rsidRPr="00654BCA">
        <w:rPr>
          <w:rFonts w:ascii="Arial" w:hAnsi="Arial" w:cs="Arial"/>
        </w:rPr>
        <w:t xml:space="preserve"> checking” entries, to maximize </w:t>
      </w:r>
      <w:r w:rsidRPr="00654BCA">
        <w:rPr>
          <w:rFonts w:ascii="Arial" w:hAnsi="Arial" w:cs="Arial"/>
        </w:rPr>
        <w:t>efficiency and eliminate unnecessary data clarifications.</w:t>
      </w:r>
    </w:p>
    <w:p w14:paraId="5D9C8C66" w14:textId="77777777" w:rsidR="00654BCA" w:rsidRPr="00654BCA" w:rsidRDefault="00654BCA" w:rsidP="00654BCA">
      <w:pPr>
        <w:pStyle w:val="ListParagraph"/>
        <w:rPr>
          <w:rFonts w:ascii="Arial" w:hAnsi="Arial" w:cs="Arial"/>
        </w:rPr>
      </w:pPr>
    </w:p>
    <w:p w14:paraId="146042F0" w14:textId="5B6EDD4C" w:rsidR="00A146D0"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 xml:space="preserve">If the </w:t>
      </w:r>
      <w:r w:rsidR="00225689">
        <w:rPr>
          <w:rFonts w:ascii="Arial" w:hAnsi="Arial" w:cs="Arial"/>
        </w:rPr>
        <w:t>sponsor uses</w:t>
      </w:r>
      <w:r w:rsidR="00A146D0" w:rsidRPr="00654BCA">
        <w:rPr>
          <w:rFonts w:ascii="Arial" w:hAnsi="Arial" w:cs="Arial"/>
        </w:rPr>
        <w:t xml:space="preserve"> </w:t>
      </w:r>
      <w:r w:rsidR="00225689">
        <w:rPr>
          <w:rFonts w:ascii="Arial" w:hAnsi="Arial" w:cs="Arial"/>
        </w:rPr>
        <w:t xml:space="preserve">an </w:t>
      </w:r>
      <w:r w:rsidR="00A146D0" w:rsidRPr="00654BCA">
        <w:rPr>
          <w:rFonts w:ascii="Arial" w:hAnsi="Arial" w:cs="Arial"/>
        </w:rPr>
        <w:t>eCRF</w:t>
      </w:r>
      <w:r w:rsidR="00225689">
        <w:rPr>
          <w:rFonts w:ascii="Arial" w:hAnsi="Arial" w:cs="Arial"/>
        </w:rPr>
        <w:t xml:space="preserve"> system</w:t>
      </w:r>
      <w:r w:rsidR="002D1214">
        <w:rPr>
          <w:rFonts w:ascii="Arial" w:hAnsi="Arial" w:cs="Arial"/>
        </w:rPr>
        <w:t>,</w:t>
      </w:r>
      <w:r w:rsidR="003E4775" w:rsidRPr="00654BCA">
        <w:rPr>
          <w:rFonts w:ascii="Arial" w:hAnsi="Arial" w:cs="Arial"/>
        </w:rPr>
        <w:t xml:space="preserve"> ensure that data is entered </w:t>
      </w:r>
      <w:r w:rsidRPr="00654BCA">
        <w:rPr>
          <w:rFonts w:ascii="Arial" w:hAnsi="Arial" w:cs="Arial"/>
        </w:rPr>
        <w:t xml:space="preserve">promptly and accurately from the </w:t>
      </w:r>
      <w:r w:rsidR="003E4775" w:rsidRPr="00654BCA">
        <w:rPr>
          <w:rFonts w:ascii="Arial" w:hAnsi="Arial" w:cs="Arial"/>
        </w:rPr>
        <w:t xml:space="preserve">source documentation, according </w:t>
      </w:r>
      <w:r w:rsidRPr="00654BCA">
        <w:rPr>
          <w:rFonts w:ascii="Arial" w:hAnsi="Arial" w:cs="Arial"/>
        </w:rPr>
        <w:t>to sponsor specifications.</w:t>
      </w:r>
    </w:p>
    <w:p w14:paraId="54D91BD4" w14:textId="77777777" w:rsidR="00654BCA" w:rsidRDefault="00654BCA" w:rsidP="00A146D0">
      <w:pPr>
        <w:pStyle w:val="ListParagraph"/>
        <w:rPr>
          <w:rFonts w:ascii="Arial" w:hAnsi="Arial" w:cs="Arial"/>
        </w:rPr>
      </w:pPr>
    </w:p>
    <w:p w14:paraId="6334617B" w14:textId="42D676C4" w:rsidR="00026E55" w:rsidRDefault="00654BCA" w:rsidP="00654BCA">
      <w:pPr>
        <w:pStyle w:val="ListParagraph"/>
        <w:ind w:left="0"/>
        <w:rPr>
          <w:rFonts w:ascii="Arial" w:hAnsi="Arial" w:cs="Arial"/>
          <w:b/>
        </w:rPr>
      </w:pPr>
      <w:r w:rsidRPr="00654BCA">
        <w:rPr>
          <w:rFonts w:ascii="Arial" w:hAnsi="Arial" w:cs="Arial"/>
          <w:b/>
        </w:rPr>
        <w:lastRenderedPageBreak/>
        <w:t>PROCEDURE (cont):</w:t>
      </w:r>
    </w:p>
    <w:p w14:paraId="6B8C8AC4" w14:textId="39E7CC57" w:rsidR="00026E55" w:rsidRPr="00982707" w:rsidRDefault="00982707" w:rsidP="00982707">
      <w:pPr>
        <w:pStyle w:val="ListParagraph"/>
        <w:numPr>
          <w:ilvl w:val="0"/>
          <w:numId w:val="39"/>
        </w:numPr>
        <w:ind w:left="630" w:hanging="540"/>
        <w:rPr>
          <w:rFonts w:ascii="Arial" w:hAnsi="Arial" w:cs="Arial"/>
          <w:b/>
        </w:rPr>
      </w:pPr>
      <w:r w:rsidRPr="00982707">
        <w:rPr>
          <w:rFonts w:ascii="Arial" w:hAnsi="Arial" w:cs="Arial"/>
          <w:lang w:val="en"/>
        </w:rPr>
        <w:t>If the sponsor or CRO utilizes a DCF as</w:t>
      </w:r>
      <w:r w:rsidR="00026E55" w:rsidRPr="00982707">
        <w:rPr>
          <w:rFonts w:ascii="Arial" w:hAnsi="Arial" w:cs="Arial"/>
          <w:lang w:val="en"/>
        </w:rPr>
        <w:t xml:space="preserve"> the primary data clarification tool</w:t>
      </w:r>
      <w:r w:rsidRPr="00982707">
        <w:rPr>
          <w:rFonts w:ascii="Arial" w:hAnsi="Arial" w:cs="Arial"/>
          <w:lang w:val="en"/>
        </w:rPr>
        <w:t xml:space="preserve">, the research coordinator or designee is responsible for </w:t>
      </w:r>
      <w:r w:rsidR="00026E55" w:rsidRPr="00982707">
        <w:rPr>
          <w:rFonts w:ascii="Arial" w:hAnsi="Arial" w:cs="Arial"/>
          <w:lang w:val="en"/>
        </w:rPr>
        <w:t>clarify</w:t>
      </w:r>
      <w:r w:rsidRPr="00982707">
        <w:rPr>
          <w:rFonts w:ascii="Arial" w:hAnsi="Arial" w:cs="Arial"/>
          <w:lang w:val="en"/>
        </w:rPr>
        <w:t>ing discrepancies and documenting on the form accordingly.</w:t>
      </w:r>
    </w:p>
    <w:p w14:paraId="4DF365F0" w14:textId="77777777" w:rsidR="00654BCA" w:rsidRDefault="00654BCA" w:rsidP="00654BCA">
      <w:pPr>
        <w:pStyle w:val="ListParagraph"/>
        <w:ind w:left="0"/>
        <w:rPr>
          <w:rFonts w:ascii="Arial" w:hAnsi="Arial" w:cs="Arial"/>
          <w:b/>
        </w:rPr>
      </w:pPr>
    </w:p>
    <w:p w14:paraId="3F550635" w14:textId="77777777" w:rsidR="00026E55" w:rsidRPr="00026E55" w:rsidRDefault="00A146D0" w:rsidP="00026E55">
      <w:pPr>
        <w:pStyle w:val="ListParagraph"/>
        <w:numPr>
          <w:ilvl w:val="0"/>
          <w:numId w:val="39"/>
        </w:numPr>
        <w:tabs>
          <w:tab w:val="left" w:pos="900"/>
        </w:tabs>
        <w:ind w:left="720" w:hanging="630"/>
        <w:rPr>
          <w:rFonts w:ascii="Arial" w:hAnsi="Arial" w:cs="Arial"/>
          <w:b/>
        </w:rPr>
      </w:pPr>
      <w:r w:rsidRPr="00026E55">
        <w:rPr>
          <w:rFonts w:ascii="Arial" w:hAnsi="Arial" w:cs="Arial"/>
        </w:rPr>
        <w:t>CRFs should be stored in a secure location during the course of the study and archived when the study has finished. See SO</w:t>
      </w:r>
      <w:r w:rsidR="00026E55" w:rsidRPr="00026E55">
        <w:rPr>
          <w:rFonts w:ascii="Arial" w:hAnsi="Arial" w:cs="Arial"/>
        </w:rPr>
        <w:t>P 504: Archiving Study Records.</w:t>
      </w:r>
    </w:p>
    <w:p w14:paraId="7F8E4F4B" w14:textId="77777777" w:rsidR="00026E55" w:rsidRPr="00026E55" w:rsidRDefault="00026E55" w:rsidP="00026E55">
      <w:pPr>
        <w:pStyle w:val="ListParagraph"/>
        <w:tabs>
          <w:tab w:val="left" w:pos="900"/>
        </w:tabs>
        <w:rPr>
          <w:rFonts w:ascii="Arial" w:hAnsi="Arial" w:cs="Arial"/>
          <w:b/>
        </w:rPr>
      </w:pPr>
    </w:p>
    <w:p w14:paraId="24EB6709" w14:textId="2CC2A8E7" w:rsidR="008A2257" w:rsidRPr="00982707" w:rsidRDefault="00A146D0" w:rsidP="00982707">
      <w:pPr>
        <w:pStyle w:val="ListParagraph"/>
        <w:numPr>
          <w:ilvl w:val="0"/>
          <w:numId w:val="39"/>
        </w:numPr>
        <w:tabs>
          <w:tab w:val="left" w:pos="900"/>
        </w:tabs>
        <w:ind w:left="720" w:hanging="630"/>
        <w:rPr>
          <w:rFonts w:ascii="Arial" w:hAnsi="Arial" w:cs="Arial"/>
          <w:b/>
        </w:rPr>
      </w:pPr>
      <w:r w:rsidRPr="00026E55">
        <w:rPr>
          <w:rFonts w:ascii="Arial" w:hAnsi="Arial" w:cs="Arial"/>
        </w:rPr>
        <w:t>When all entries and corrections are deemed to be complete, the CRF must be signed</w:t>
      </w:r>
      <w:r w:rsidR="00306A8C" w:rsidRPr="00026E55">
        <w:rPr>
          <w:rFonts w:ascii="Arial" w:hAnsi="Arial" w:cs="Arial"/>
        </w:rPr>
        <w:t xml:space="preserve"> by the principal investigator and/ or designee to assert that he/she </w:t>
      </w:r>
      <w:r w:rsidRPr="00026E55">
        <w:rPr>
          <w:rFonts w:ascii="Arial" w:hAnsi="Arial" w:cs="Arial"/>
        </w:rPr>
        <w:t>believe</w:t>
      </w:r>
      <w:r w:rsidR="00306A8C" w:rsidRPr="00026E55">
        <w:rPr>
          <w:rFonts w:ascii="Arial" w:hAnsi="Arial" w:cs="Arial"/>
        </w:rPr>
        <w:t>s</w:t>
      </w:r>
      <w:r w:rsidRPr="00026E55">
        <w:rPr>
          <w:rFonts w:ascii="Arial" w:hAnsi="Arial" w:cs="Arial"/>
        </w:rPr>
        <w:t xml:space="preserve"> it to be complete and correct.</w:t>
      </w:r>
      <w:r w:rsidR="000921D3" w:rsidRPr="00026E55">
        <w:rPr>
          <w:rFonts w:ascii="Arial" w:hAnsi="Arial" w:cs="Arial"/>
        </w:rPr>
        <w:t xml:space="preserve">   </w:t>
      </w:r>
    </w:p>
    <w:p w14:paraId="24EB670A"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570"/>
      </w:tblGrid>
      <w:tr w:rsidR="00C91E2E" w:rsidRPr="004058B2" w14:paraId="24EB6719" w14:textId="77777777" w:rsidTr="00A63AD9">
        <w:trPr>
          <w:trHeight w:val="530"/>
        </w:trPr>
        <w:tc>
          <w:tcPr>
            <w:tcW w:w="2628" w:type="dxa"/>
            <w:vAlign w:val="bottom"/>
          </w:tcPr>
          <w:p w14:paraId="24EB670B" w14:textId="77777777"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70" w:type="dxa"/>
          </w:tcPr>
          <w:p w14:paraId="456AEE95" w14:textId="5881E825" w:rsidR="006B2527" w:rsidRDefault="006B2527" w:rsidP="008A2257">
            <w:pPr>
              <w:autoSpaceDE w:val="0"/>
              <w:autoSpaceDN w:val="0"/>
              <w:adjustRightInd w:val="0"/>
              <w:rPr>
                <w:rFonts w:ascii="Arial" w:hAnsi="Arial" w:cs="Arial"/>
                <w:sz w:val="20"/>
                <w:szCs w:val="20"/>
              </w:rPr>
            </w:pPr>
            <w:r>
              <w:rPr>
                <w:rFonts w:ascii="Arial" w:hAnsi="Arial" w:cs="Arial"/>
                <w:sz w:val="20"/>
                <w:szCs w:val="20"/>
              </w:rPr>
              <w:t>21 CFR 11 Electronic Records</w:t>
            </w:r>
          </w:p>
          <w:p w14:paraId="24EB670E" w14:textId="7CBBA30C"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21 CFR 312.60 General responsibilities of investigators</w:t>
            </w:r>
          </w:p>
          <w:p w14:paraId="24EB6712" w14:textId="6551F82A"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21 CFR 312.62 Investigator rec</w:t>
            </w:r>
            <w:r w:rsidR="000921D3">
              <w:rPr>
                <w:rFonts w:ascii="Arial" w:hAnsi="Arial" w:cs="Arial"/>
                <w:sz w:val="20"/>
                <w:szCs w:val="20"/>
              </w:rPr>
              <w:t>ordkeeping and record retention</w:t>
            </w:r>
          </w:p>
          <w:p w14:paraId="24EB6713"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FDA Information Sheets, October 1995 Recordkeeping in Clinical</w:t>
            </w:r>
          </w:p>
          <w:p w14:paraId="24EB6714"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Investigations</w:t>
            </w:r>
          </w:p>
          <w:p w14:paraId="24EB6715"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Guidelines for the Monitoring of Clinical Investigations, January 1988</w:t>
            </w:r>
          </w:p>
          <w:p w14:paraId="24EB6716"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International Conference on Harmonization; Good Clinical Practice:</w:t>
            </w:r>
          </w:p>
          <w:p w14:paraId="24EB6717" w14:textId="77777777" w:rsidR="00545DCF" w:rsidRPr="00411CA0" w:rsidRDefault="008A2257" w:rsidP="008A2257">
            <w:pPr>
              <w:autoSpaceDE w:val="0"/>
              <w:autoSpaceDN w:val="0"/>
              <w:adjustRightInd w:val="0"/>
              <w:rPr>
                <w:rFonts w:ascii="Arial" w:hAnsi="Arial" w:cs="Arial"/>
                <w:color w:val="000000"/>
                <w:sz w:val="20"/>
                <w:szCs w:val="20"/>
              </w:rPr>
            </w:pPr>
            <w:r w:rsidRPr="00411CA0">
              <w:rPr>
                <w:rFonts w:ascii="Arial" w:hAnsi="Arial" w:cs="Arial"/>
                <w:sz w:val="20"/>
                <w:szCs w:val="20"/>
              </w:rPr>
              <w:t>Consolidated Guideline, May 1997</w:t>
            </w:r>
          </w:p>
          <w:p w14:paraId="40726A78" w14:textId="18C92E35" w:rsidR="008041A5" w:rsidRDefault="002E5F84" w:rsidP="00545545">
            <w:pPr>
              <w:autoSpaceDE w:val="0"/>
              <w:autoSpaceDN w:val="0"/>
              <w:adjustRightInd w:val="0"/>
              <w:ind w:left="2880" w:hanging="2880"/>
              <w:rPr>
                <w:rFonts w:ascii="Arial" w:hAnsi="Arial" w:cs="Arial"/>
                <w:sz w:val="20"/>
                <w:szCs w:val="20"/>
              </w:rPr>
            </w:pPr>
            <w:r>
              <w:rPr>
                <w:rFonts w:ascii="Arial" w:hAnsi="Arial" w:cs="Arial"/>
                <w:sz w:val="20"/>
                <w:szCs w:val="20"/>
              </w:rPr>
              <w:t>USF HRPP Policy and Procedure Manual:</w:t>
            </w:r>
            <w:r w:rsidR="008D2D60" w:rsidRPr="00411CA0">
              <w:rPr>
                <w:rFonts w:ascii="Arial" w:hAnsi="Arial" w:cs="Arial"/>
                <w:sz w:val="20"/>
                <w:szCs w:val="20"/>
              </w:rPr>
              <w:t xml:space="preserve"> </w:t>
            </w:r>
            <w:r w:rsidR="008D2D60" w:rsidRPr="00411CA0">
              <w:rPr>
                <w:rFonts w:ascii="Arial" w:hAnsi="Arial" w:cs="Arial"/>
                <w:iCs/>
                <w:sz w:val="20"/>
                <w:szCs w:val="20"/>
              </w:rPr>
              <w:t>Research Record Retention and Accessibility</w:t>
            </w:r>
          </w:p>
          <w:p w14:paraId="24EB6718" w14:textId="292F6929" w:rsidR="00225689" w:rsidRPr="002718E1" w:rsidRDefault="00225689" w:rsidP="00545545">
            <w:pPr>
              <w:autoSpaceDE w:val="0"/>
              <w:autoSpaceDN w:val="0"/>
              <w:adjustRightInd w:val="0"/>
              <w:ind w:left="2880" w:hanging="2880"/>
              <w:rPr>
                <w:rFonts w:ascii="Arial" w:hAnsi="Arial" w:cs="Arial"/>
                <w:sz w:val="20"/>
                <w:szCs w:val="20"/>
              </w:rPr>
            </w:pPr>
          </w:p>
        </w:tc>
      </w:tr>
      <w:tr w:rsidR="00C91E2E" w:rsidRPr="004058B2" w14:paraId="24EB671C" w14:textId="77777777" w:rsidTr="00A63AD9">
        <w:trPr>
          <w:trHeight w:val="530"/>
        </w:trPr>
        <w:tc>
          <w:tcPr>
            <w:tcW w:w="2628" w:type="dxa"/>
            <w:vAlign w:val="bottom"/>
          </w:tcPr>
          <w:p w14:paraId="24EB671A" w14:textId="324FA146"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70" w:type="dxa"/>
          </w:tcPr>
          <w:p w14:paraId="4879DB37" w14:textId="4298DF7D" w:rsidR="008D07C3" w:rsidRDefault="008D07C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102: Training Clinical Research Staff</w:t>
            </w:r>
          </w:p>
          <w:p w14:paraId="48ED2AB2" w14:textId="65C56242" w:rsidR="008D07C3" w:rsidRDefault="008D07C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103: Responsibilities of the Research Team</w:t>
            </w:r>
          </w:p>
          <w:p w14:paraId="03536949" w14:textId="77777777" w:rsidR="000921D3" w:rsidRDefault="00AA6B2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502: Source Do</w:t>
            </w:r>
            <w:r w:rsidR="0035119B">
              <w:rPr>
                <w:rFonts w:ascii="Arial" w:hAnsi="Arial" w:cs="Arial"/>
                <w:sz w:val="20"/>
                <w:szCs w:val="20"/>
              </w:rPr>
              <w:t>cumentation</w:t>
            </w:r>
          </w:p>
          <w:p w14:paraId="24EB671B" w14:textId="7EA71D2B" w:rsidR="00920F4F" w:rsidRPr="0039770E" w:rsidRDefault="000921D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504: Archiving Study Records</w:t>
            </w:r>
            <w:r w:rsidR="00920F4F" w:rsidRPr="0039770E">
              <w:rPr>
                <w:rFonts w:ascii="Arial" w:hAnsi="Arial" w:cs="Arial"/>
                <w:sz w:val="20"/>
                <w:szCs w:val="20"/>
              </w:rPr>
              <w:tab/>
            </w:r>
          </w:p>
        </w:tc>
      </w:tr>
      <w:tr w:rsidR="00C91E2E" w:rsidRPr="004058B2" w14:paraId="24EB671F" w14:textId="77777777" w:rsidTr="00A63AD9">
        <w:tc>
          <w:tcPr>
            <w:tcW w:w="2628" w:type="dxa"/>
            <w:vAlign w:val="bottom"/>
          </w:tcPr>
          <w:p w14:paraId="24EB671D" w14:textId="4D8BBA0B" w:rsidR="00920F4F" w:rsidRPr="004058B2" w:rsidRDefault="00920F4F" w:rsidP="00920F4F">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70" w:type="dxa"/>
          </w:tcPr>
          <w:p w14:paraId="24EB671E" w14:textId="78D8C7F7" w:rsidR="00920F4F" w:rsidRPr="0039770E" w:rsidRDefault="00225689" w:rsidP="00920F4F">
            <w:pPr>
              <w:tabs>
                <w:tab w:val="left" w:pos="10160"/>
              </w:tabs>
              <w:autoSpaceDE w:val="0"/>
              <w:autoSpaceDN w:val="0"/>
              <w:adjustRightInd w:val="0"/>
              <w:rPr>
                <w:rFonts w:ascii="Arial" w:hAnsi="Arial" w:cs="Arial"/>
                <w:sz w:val="20"/>
                <w:szCs w:val="20"/>
              </w:rPr>
            </w:pPr>
            <w:r>
              <w:rPr>
                <w:rFonts w:ascii="Arial" w:hAnsi="Arial" w:cs="Arial"/>
                <w:sz w:val="20"/>
                <w:szCs w:val="20"/>
              </w:rPr>
              <w:t>None</w:t>
            </w:r>
          </w:p>
        </w:tc>
      </w:tr>
      <w:tr w:rsidR="00920F4F" w:rsidRPr="004058B2" w14:paraId="24EB6721" w14:textId="77777777" w:rsidTr="00A63AD9">
        <w:trPr>
          <w:trHeight w:val="353"/>
        </w:trPr>
        <w:tc>
          <w:tcPr>
            <w:tcW w:w="9198" w:type="dxa"/>
            <w:gridSpan w:val="2"/>
            <w:vAlign w:val="bottom"/>
          </w:tcPr>
          <w:p w14:paraId="24EB6720" w14:textId="77777777" w:rsidR="00920F4F" w:rsidRPr="004058B2" w:rsidRDefault="00920F4F" w:rsidP="00920F4F">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920F4F" w:rsidRPr="004058B2" w14:paraId="24EB6725" w14:textId="77777777" w:rsidTr="00A63AD9">
        <w:tc>
          <w:tcPr>
            <w:tcW w:w="3626" w:type="dxa"/>
          </w:tcPr>
          <w:p w14:paraId="24EB6722"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24EB6723"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24EB6724"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24EB6729" w14:textId="77777777" w:rsidTr="00A63AD9">
        <w:trPr>
          <w:trHeight w:val="288"/>
        </w:trPr>
        <w:tc>
          <w:tcPr>
            <w:tcW w:w="3626" w:type="dxa"/>
          </w:tcPr>
          <w:p w14:paraId="24EB6726" w14:textId="12F64079" w:rsidR="00920F4F" w:rsidRPr="004058B2" w:rsidRDefault="002E5F84" w:rsidP="00920F4F">
            <w:pPr>
              <w:autoSpaceDE w:val="0"/>
              <w:autoSpaceDN w:val="0"/>
              <w:adjustRightInd w:val="0"/>
              <w:ind w:right="-20"/>
              <w:rPr>
                <w:rFonts w:ascii="Arial" w:hAnsi="Arial" w:cs="Arial"/>
                <w:b/>
              </w:rPr>
            </w:pPr>
            <w:r>
              <w:rPr>
                <w:rFonts w:ascii="Arial" w:hAnsi="Arial" w:cs="Arial"/>
                <w:b/>
              </w:rPr>
              <w:t>01/01/2015</w:t>
            </w:r>
          </w:p>
        </w:tc>
        <w:tc>
          <w:tcPr>
            <w:tcW w:w="2692" w:type="dxa"/>
          </w:tcPr>
          <w:p w14:paraId="24EB6727" w14:textId="0C142E50" w:rsidR="00920F4F" w:rsidRPr="004058B2" w:rsidRDefault="002E5F84" w:rsidP="00920F4F">
            <w:pPr>
              <w:autoSpaceDE w:val="0"/>
              <w:autoSpaceDN w:val="0"/>
              <w:adjustRightInd w:val="0"/>
              <w:ind w:right="-20"/>
              <w:rPr>
                <w:rFonts w:ascii="Arial" w:hAnsi="Arial" w:cs="Arial"/>
                <w:b/>
              </w:rPr>
            </w:pPr>
            <w:r>
              <w:rPr>
                <w:rFonts w:ascii="Arial" w:hAnsi="Arial" w:cs="Arial"/>
                <w:b/>
              </w:rPr>
              <w:t>01/01/2015</w:t>
            </w:r>
          </w:p>
        </w:tc>
        <w:tc>
          <w:tcPr>
            <w:tcW w:w="2880" w:type="dxa"/>
          </w:tcPr>
          <w:p w14:paraId="24EB6728" w14:textId="77777777" w:rsidR="00920F4F" w:rsidRPr="004058B2" w:rsidRDefault="00920F4F" w:rsidP="00920F4F">
            <w:pPr>
              <w:autoSpaceDE w:val="0"/>
              <w:autoSpaceDN w:val="0"/>
              <w:adjustRightInd w:val="0"/>
              <w:ind w:right="-20"/>
              <w:rPr>
                <w:rFonts w:ascii="Arial" w:hAnsi="Arial" w:cs="Arial"/>
                <w:b/>
              </w:rPr>
            </w:pPr>
          </w:p>
        </w:tc>
      </w:tr>
      <w:tr w:rsidR="00920F4F" w:rsidRPr="004058B2" w14:paraId="24EB672D" w14:textId="77777777" w:rsidTr="00A63AD9">
        <w:trPr>
          <w:trHeight w:val="288"/>
        </w:trPr>
        <w:tc>
          <w:tcPr>
            <w:tcW w:w="3626" w:type="dxa"/>
          </w:tcPr>
          <w:p w14:paraId="24EB672A"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24EB672B" w14:textId="77777777" w:rsidR="00920F4F" w:rsidRPr="004058B2" w:rsidRDefault="00920F4F" w:rsidP="00920F4F">
            <w:pPr>
              <w:autoSpaceDE w:val="0"/>
              <w:autoSpaceDN w:val="0"/>
              <w:adjustRightInd w:val="0"/>
              <w:ind w:right="-20"/>
              <w:rPr>
                <w:rFonts w:ascii="Arial" w:hAnsi="Arial" w:cs="Arial"/>
                <w:b/>
              </w:rPr>
            </w:pPr>
          </w:p>
        </w:tc>
        <w:tc>
          <w:tcPr>
            <w:tcW w:w="2880" w:type="dxa"/>
          </w:tcPr>
          <w:p w14:paraId="24EB672C" w14:textId="77777777" w:rsidR="00920F4F" w:rsidRPr="004058B2" w:rsidRDefault="00920F4F" w:rsidP="00920F4F">
            <w:pPr>
              <w:autoSpaceDE w:val="0"/>
              <w:autoSpaceDN w:val="0"/>
              <w:adjustRightInd w:val="0"/>
              <w:ind w:right="-20"/>
              <w:rPr>
                <w:rFonts w:ascii="Arial" w:hAnsi="Arial" w:cs="Arial"/>
                <w:b/>
              </w:rPr>
            </w:pPr>
          </w:p>
        </w:tc>
      </w:tr>
      <w:tr w:rsidR="00920F4F" w:rsidRPr="004058B2" w14:paraId="24EB6731" w14:textId="77777777" w:rsidTr="00A63AD9">
        <w:trPr>
          <w:trHeight w:val="288"/>
        </w:trPr>
        <w:tc>
          <w:tcPr>
            <w:tcW w:w="3626" w:type="dxa"/>
          </w:tcPr>
          <w:p w14:paraId="24EB672E"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24EB672F" w14:textId="77777777" w:rsidR="00920F4F" w:rsidRPr="004058B2" w:rsidRDefault="00920F4F" w:rsidP="00920F4F">
            <w:pPr>
              <w:autoSpaceDE w:val="0"/>
              <w:autoSpaceDN w:val="0"/>
              <w:adjustRightInd w:val="0"/>
              <w:ind w:right="-20"/>
              <w:rPr>
                <w:rFonts w:ascii="Arial" w:hAnsi="Arial" w:cs="Arial"/>
                <w:b/>
              </w:rPr>
            </w:pPr>
          </w:p>
        </w:tc>
        <w:tc>
          <w:tcPr>
            <w:tcW w:w="2880" w:type="dxa"/>
          </w:tcPr>
          <w:p w14:paraId="24EB6730" w14:textId="77777777" w:rsidR="00920F4F" w:rsidRPr="004058B2" w:rsidRDefault="00920F4F" w:rsidP="00920F4F">
            <w:pPr>
              <w:autoSpaceDE w:val="0"/>
              <w:autoSpaceDN w:val="0"/>
              <w:adjustRightInd w:val="0"/>
              <w:ind w:right="-20"/>
              <w:rPr>
                <w:rFonts w:ascii="Arial" w:hAnsi="Arial" w:cs="Arial"/>
                <w:b/>
              </w:rPr>
            </w:pPr>
          </w:p>
        </w:tc>
      </w:tr>
    </w:tbl>
    <w:p w14:paraId="24EB673C" w14:textId="77777777" w:rsidR="004D5448" w:rsidRDefault="004D5448" w:rsidP="004D5448">
      <w:pPr>
        <w:rPr>
          <w:rFonts w:ascii="Times New Roman" w:hAnsi="Times New Roman" w:cs="Times New Roman"/>
          <w:sz w:val="24"/>
          <w:szCs w:val="24"/>
        </w:rPr>
      </w:pPr>
    </w:p>
    <w:sectPr w:rsidR="004D5448" w:rsidSect="00225689">
      <w:headerReference w:type="default" r:id="rId11"/>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673F" w14:textId="77777777" w:rsidR="00026E55" w:rsidRDefault="00026E55" w:rsidP="00235C05">
      <w:pPr>
        <w:spacing w:after="0" w:line="240" w:lineRule="auto"/>
      </w:pPr>
      <w:r>
        <w:separator/>
      </w:r>
    </w:p>
  </w:endnote>
  <w:endnote w:type="continuationSeparator" w:id="0">
    <w:p w14:paraId="24EB6740" w14:textId="77777777" w:rsidR="00026E55" w:rsidRDefault="00026E55"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673D" w14:textId="77777777" w:rsidR="00026E55" w:rsidRDefault="00026E55" w:rsidP="00235C05">
      <w:pPr>
        <w:spacing w:after="0" w:line="240" w:lineRule="auto"/>
      </w:pPr>
      <w:r>
        <w:separator/>
      </w:r>
    </w:p>
  </w:footnote>
  <w:footnote w:type="continuationSeparator" w:id="0">
    <w:p w14:paraId="24EB673E" w14:textId="77777777" w:rsidR="00026E55" w:rsidRDefault="00026E55"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65" w:type="dxa"/>
      <w:tblLayout w:type="fixed"/>
      <w:tblCellMar>
        <w:left w:w="0" w:type="dxa"/>
        <w:right w:w="0" w:type="dxa"/>
      </w:tblCellMar>
      <w:tblLook w:val="0020" w:firstRow="1" w:lastRow="0" w:firstColumn="0" w:lastColumn="0" w:noHBand="0" w:noVBand="0"/>
    </w:tblPr>
    <w:tblGrid>
      <w:gridCol w:w="2021"/>
      <w:gridCol w:w="2917"/>
      <w:gridCol w:w="1490"/>
      <w:gridCol w:w="2745"/>
    </w:tblGrid>
    <w:tr w:rsidR="00026E55" w14:paraId="24EB6744" w14:textId="77777777" w:rsidTr="00225689">
      <w:trPr>
        <w:cantSplit/>
        <w:trHeight w:hRule="exact" w:val="576"/>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4EB6741" w14:textId="77777777" w:rsidR="00026E55" w:rsidRDefault="00026E55" w:rsidP="00411CA0">
          <w:pPr>
            <w:autoSpaceDE w:val="0"/>
            <w:autoSpaceDN w:val="0"/>
            <w:adjustRightInd w:val="0"/>
            <w:spacing w:before="4" w:after="0" w:line="240" w:lineRule="auto"/>
            <w:ind w:right="-20"/>
            <w:jc w:val="center"/>
            <w:rPr>
              <w:rFonts w:ascii="Arial" w:hAnsi="Arial" w:cs="Arial"/>
              <w:b/>
              <w:bCs/>
              <w:sz w:val="24"/>
              <w:szCs w:val="24"/>
            </w:rPr>
          </w:pPr>
        </w:p>
        <w:p w14:paraId="24EB6742" w14:textId="77777777" w:rsidR="00026E55" w:rsidRPr="0024352A" w:rsidRDefault="00026E55" w:rsidP="00411CA0">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24EB6743" w14:textId="77777777" w:rsidR="00026E55" w:rsidRDefault="00026E55" w:rsidP="00411CA0">
          <w:pPr>
            <w:autoSpaceDE w:val="0"/>
            <w:autoSpaceDN w:val="0"/>
            <w:adjustRightInd w:val="0"/>
            <w:spacing w:before="4" w:after="0" w:line="240" w:lineRule="auto"/>
            <w:ind w:right="-20"/>
            <w:jc w:val="center"/>
            <w:rPr>
              <w:rFonts w:ascii="Arial" w:hAnsi="Arial" w:cs="Arial"/>
              <w:b/>
              <w:bCs/>
            </w:rPr>
          </w:pPr>
        </w:p>
      </w:tc>
    </w:tr>
    <w:tr w:rsidR="00026E55" w:rsidRPr="00D229BE" w14:paraId="24EB6748" w14:textId="77777777" w:rsidTr="004A55C4">
      <w:trPr>
        <w:cantSplit/>
        <w:trHeight w:hRule="exact" w:val="993"/>
        <w:tblHeader/>
      </w:trPr>
      <w:tc>
        <w:tcPr>
          <w:tcW w:w="1102" w:type="pct"/>
          <w:tcBorders>
            <w:top w:val="single" w:sz="12" w:space="0" w:color="000000"/>
            <w:left w:val="single" w:sz="12" w:space="0" w:color="000000"/>
            <w:bottom w:val="single" w:sz="12" w:space="0" w:color="000000"/>
            <w:right w:val="single" w:sz="12" w:space="0" w:color="000000"/>
          </w:tcBorders>
          <w:vAlign w:val="center"/>
        </w:tcPr>
        <w:p w14:paraId="24EB6745" w14:textId="77777777" w:rsidR="00026E55" w:rsidRPr="00F93A82" w:rsidRDefault="00026E55" w:rsidP="00411CA0">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EB6755" wp14:editId="3EEB3F6B">
                <wp:extent cx="781050" cy="54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61" cy="549578"/>
                        </a:xfrm>
                        <a:prstGeom prst="rect">
                          <a:avLst/>
                        </a:prstGeom>
                        <a:noFill/>
                      </pic:spPr>
                    </pic:pic>
                  </a:graphicData>
                </a:graphic>
              </wp:inline>
            </w:drawing>
          </w:r>
        </w:p>
      </w:tc>
      <w:tc>
        <w:tcPr>
          <w:tcW w:w="3898" w:type="pct"/>
          <w:gridSpan w:val="3"/>
          <w:tcBorders>
            <w:top w:val="single" w:sz="12" w:space="0" w:color="000000"/>
            <w:left w:val="single" w:sz="12" w:space="0" w:color="000000"/>
            <w:bottom w:val="single" w:sz="12" w:space="0" w:color="000000"/>
            <w:right w:val="single" w:sz="12" w:space="0" w:color="000000"/>
          </w:tcBorders>
        </w:tcPr>
        <w:p w14:paraId="11E797B1" w14:textId="77777777" w:rsidR="004A55C4" w:rsidRDefault="004404C8" w:rsidP="004404C8">
          <w:pPr>
            <w:autoSpaceDE w:val="0"/>
            <w:autoSpaceDN w:val="0"/>
            <w:adjustRightInd w:val="0"/>
            <w:spacing w:after="0" w:line="240" w:lineRule="auto"/>
            <w:ind w:right="-20"/>
            <w:rPr>
              <w:rFonts w:ascii="Arial" w:hAnsi="Arial" w:cs="Arial"/>
              <w:b/>
              <w:bCs/>
            </w:rPr>
          </w:pPr>
          <w:r>
            <w:rPr>
              <w:rFonts w:ascii="Arial" w:hAnsi="Arial" w:cs="Arial"/>
              <w:b/>
              <w:bCs/>
            </w:rPr>
            <w:t xml:space="preserve">                   </w:t>
          </w:r>
        </w:p>
        <w:p w14:paraId="7D3C6772" w14:textId="77777777" w:rsidR="004A55C4" w:rsidRDefault="004A55C4" w:rsidP="004404C8">
          <w:pPr>
            <w:autoSpaceDE w:val="0"/>
            <w:autoSpaceDN w:val="0"/>
            <w:adjustRightInd w:val="0"/>
            <w:spacing w:after="0" w:line="240" w:lineRule="auto"/>
            <w:ind w:right="-20"/>
            <w:rPr>
              <w:rFonts w:ascii="Arial" w:hAnsi="Arial" w:cs="Arial"/>
              <w:b/>
              <w:bCs/>
            </w:rPr>
          </w:pPr>
        </w:p>
        <w:p w14:paraId="24EB6747" w14:textId="11596FD6" w:rsidR="00026E55" w:rsidRPr="00D229BE" w:rsidRDefault="004A55C4" w:rsidP="004404C8">
          <w:pPr>
            <w:autoSpaceDE w:val="0"/>
            <w:autoSpaceDN w:val="0"/>
            <w:adjustRightInd w:val="0"/>
            <w:spacing w:after="0" w:line="240" w:lineRule="auto"/>
            <w:ind w:right="-20"/>
            <w:rPr>
              <w:rFonts w:ascii="Arial" w:hAnsi="Arial" w:cs="Arial"/>
            </w:rPr>
          </w:pPr>
          <w:r>
            <w:rPr>
              <w:rFonts w:ascii="Arial" w:hAnsi="Arial" w:cs="Arial"/>
              <w:b/>
              <w:bCs/>
            </w:rPr>
            <w:t xml:space="preserve">                 </w:t>
          </w:r>
          <w:r w:rsidR="00026E55" w:rsidRPr="004404C8">
            <w:rPr>
              <w:rFonts w:ascii="Arial" w:hAnsi="Arial" w:cs="Arial"/>
              <w:b/>
              <w:sz w:val="24"/>
              <w:szCs w:val="24"/>
            </w:rPr>
            <w:t>CASE REPORT FORM  COMPLETION</w:t>
          </w:r>
        </w:p>
      </w:tc>
    </w:tr>
    <w:tr w:rsidR="00026E55" w:rsidRPr="00851AE9" w14:paraId="24EB6751" w14:textId="77777777" w:rsidTr="004A55C4">
      <w:trPr>
        <w:cantSplit/>
        <w:trHeight w:hRule="exact" w:val="432"/>
        <w:tblHeader/>
      </w:trPr>
      <w:tc>
        <w:tcPr>
          <w:tcW w:w="1102" w:type="pct"/>
          <w:tcBorders>
            <w:top w:val="single" w:sz="12" w:space="0" w:color="000000"/>
            <w:left w:val="single" w:sz="12" w:space="0" w:color="000000"/>
            <w:bottom w:val="single" w:sz="12" w:space="0" w:color="000000"/>
            <w:right w:val="single" w:sz="12" w:space="0" w:color="000000"/>
          </w:tcBorders>
          <w:vAlign w:val="bottom"/>
        </w:tcPr>
        <w:p w14:paraId="24EB674D" w14:textId="77777777" w:rsidR="00026E55" w:rsidRPr="00851AE9" w:rsidRDefault="00026E55" w:rsidP="00411CA0">
          <w:pPr>
            <w:autoSpaceDE w:val="0"/>
            <w:autoSpaceDN w:val="0"/>
            <w:adjustRightInd w:val="0"/>
            <w:spacing w:after="0" w:line="240" w:lineRule="auto"/>
            <w:ind w:left="95" w:right="-20"/>
            <w:rPr>
              <w:rFonts w:ascii="Arial" w:hAnsi="Arial" w:cs="Arial"/>
              <w:b/>
            </w:rPr>
          </w:pPr>
          <w:r>
            <w:rPr>
              <w:rFonts w:ascii="Arial" w:hAnsi="Arial" w:cs="Arial"/>
              <w:b/>
            </w:rPr>
            <w:t>SOP#: 501</w:t>
          </w:r>
        </w:p>
      </w:tc>
      <w:tc>
        <w:tcPr>
          <w:tcW w:w="1590" w:type="pct"/>
          <w:tcBorders>
            <w:top w:val="single" w:sz="12" w:space="0" w:color="000000"/>
            <w:left w:val="single" w:sz="12" w:space="0" w:color="000000"/>
            <w:bottom w:val="single" w:sz="12" w:space="0" w:color="000000"/>
            <w:right w:val="single" w:sz="4" w:space="0" w:color="auto"/>
          </w:tcBorders>
          <w:vAlign w:val="bottom"/>
        </w:tcPr>
        <w:p w14:paraId="24EB674E" w14:textId="708752F5" w:rsidR="00026E55" w:rsidRPr="00851AE9" w:rsidRDefault="00026E55" w:rsidP="006B6AB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sidR="006B6AB2">
            <w:rPr>
              <w:rFonts w:ascii="Arial" w:hAnsi="Arial" w:cs="Arial"/>
              <w:b/>
              <w:spacing w:val="2"/>
            </w:rPr>
            <w:t>06</w:t>
          </w:r>
          <w:r w:rsidR="004A55C4">
            <w:rPr>
              <w:rFonts w:ascii="Arial" w:hAnsi="Arial" w:cs="Arial"/>
              <w:b/>
              <w:spacing w:val="2"/>
            </w:rPr>
            <w:t>/01/201</w:t>
          </w:r>
          <w:r w:rsidR="006B6AB2">
            <w:rPr>
              <w:rFonts w:ascii="Arial" w:hAnsi="Arial" w:cs="Arial"/>
              <w:b/>
              <w:spacing w:val="2"/>
            </w:rPr>
            <w:t>6</w:t>
          </w:r>
        </w:p>
      </w:tc>
      <w:tc>
        <w:tcPr>
          <w:tcW w:w="812" w:type="pct"/>
          <w:tcBorders>
            <w:top w:val="single" w:sz="12" w:space="0" w:color="000000"/>
            <w:left w:val="single" w:sz="4" w:space="0" w:color="auto"/>
            <w:bottom w:val="single" w:sz="12" w:space="0" w:color="000000"/>
            <w:right w:val="single" w:sz="12" w:space="0" w:color="000000"/>
          </w:tcBorders>
          <w:vAlign w:val="bottom"/>
        </w:tcPr>
        <w:p w14:paraId="24EB674F" w14:textId="77777777" w:rsidR="00026E55" w:rsidRPr="00851AE9" w:rsidRDefault="00026E55" w:rsidP="00411CA0">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496" w:type="pct"/>
          <w:tcBorders>
            <w:top w:val="single" w:sz="12" w:space="0" w:color="000000"/>
            <w:left w:val="single" w:sz="12" w:space="0" w:color="000000"/>
            <w:bottom w:val="single" w:sz="12" w:space="0" w:color="000000"/>
            <w:right w:val="single" w:sz="12" w:space="0" w:color="000000"/>
          </w:tcBorders>
          <w:vAlign w:val="bottom"/>
        </w:tcPr>
        <w:p w14:paraId="24EB6750" w14:textId="77777777" w:rsidR="00026E55" w:rsidRPr="00851AE9" w:rsidRDefault="00026E55" w:rsidP="00411CA0">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Page: 1 of 3</w:t>
          </w:r>
        </w:p>
      </w:tc>
    </w:tr>
  </w:tbl>
  <w:p w14:paraId="24EB6752" w14:textId="77777777" w:rsidR="00026E55" w:rsidRDefault="00026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B17FE7"/>
    <w:multiLevelType w:val="hybridMultilevel"/>
    <w:tmpl w:val="97F41AB0"/>
    <w:lvl w:ilvl="0" w:tplc="FD5C6D1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02697F"/>
    <w:multiLevelType w:val="multilevel"/>
    <w:tmpl w:val="6CDCA99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w w:val="100"/>
      </w:rPr>
    </w:lvl>
    <w:lvl w:ilvl="2">
      <w:start w:val="1"/>
      <w:numFmt w:val="decimal"/>
      <w:isLgl/>
      <w:lvlText w:val="%1.%2.%3."/>
      <w:lvlJc w:val="left"/>
      <w:pPr>
        <w:ind w:left="1440" w:hanging="720"/>
      </w:pPr>
      <w:rPr>
        <w:rFonts w:hint="default"/>
        <w:w w:val="100"/>
      </w:rPr>
    </w:lvl>
    <w:lvl w:ilvl="3">
      <w:start w:val="1"/>
      <w:numFmt w:val="decimal"/>
      <w:isLgl/>
      <w:lvlText w:val="%1.%2.%3.%4."/>
      <w:lvlJc w:val="left"/>
      <w:pPr>
        <w:ind w:left="2160" w:hanging="1080"/>
      </w:pPr>
      <w:rPr>
        <w:rFonts w:hint="default"/>
        <w:w w:val="100"/>
      </w:rPr>
    </w:lvl>
    <w:lvl w:ilvl="4">
      <w:start w:val="1"/>
      <w:numFmt w:val="decimal"/>
      <w:isLgl/>
      <w:lvlText w:val="%1.%2.%3.%4.%5."/>
      <w:lvlJc w:val="left"/>
      <w:pPr>
        <w:ind w:left="2520" w:hanging="1080"/>
      </w:pPr>
      <w:rPr>
        <w:rFonts w:hint="default"/>
        <w:w w:val="100"/>
      </w:rPr>
    </w:lvl>
    <w:lvl w:ilvl="5">
      <w:start w:val="1"/>
      <w:numFmt w:val="decimal"/>
      <w:isLgl/>
      <w:lvlText w:val="%1.%2.%3.%4.%5.%6."/>
      <w:lvlJc w:val="left"/>
      <w:pPr>
        <w:ind w:left="3240" w:hanging="1440"/>
      </w:pPr>
      <w:rPr>
        <w:rFonts w:hint="default"/>
        <w:w w:val="100"/>
      </w:rPr>
    </w:lvl>
    <w:lvl w:ilvl="6">
      <w:start w:val="1"/>
      <w:numFmt w:val="decimal"/>
      <w:isLgl/>
      <w:lvlText w:val="%1.%2.%3.%4.%5.%6.%7."/>
      <w:lvlJc w:val="left"/>
      <w:pPr>
        <w:ind w:left="3600" w:hanging="1440"/>
      </w:pPr>
      <w:rPr>
        <w:rFonts w:hint="default"/>
        <w:w w:val="100"/>
      </w:rPr>
    </w:lvl>
    <w:lvl w:ilvl="7">
      <w:start w:val="1"/>
      <w:numFmt w:val="decimal"/>
      <w:isLgl/>
      <w:lvlText w:val="%1.%2.%3.%4.%5.%6.%7.%8."/>
      <w:lvlJc w:val="left"/>
      <w:pPr>
        <w:ind w:left="4320" w:hanging="1800"/>
      </w:pPr>
      <w:rPr>
        <w:rFonts w:hint="default"/>
        <w:w w:val="100"/>
      </w:rPr>
    </w:lvl>
    <w:lvl w:ilvl="8">
      <w:start w:val="1"/>
      <w:numFmt w:val="decimal"/>
      <w:isLgl/>
      <w:lvlText w:val="%1.%2.%3.%4.%5.%6.%7.%8.%9."/>
      <w:lvlJc w:val="left"/>
      <w:pPr>
        <w:ind w:left="4680" w:hanging="1800"/>
      </w:pPr>
      <w:rPr>
        <w:rFonts w:hint="default"/>
        <w:w w:val="100"/>
      </w:rPr>
    </w:lvl>
  </w:abstractNum>
  <w:abstractNum w:abstractNumId="12">
    <w:nsid w:val="0F75322E"/>
    <w:multiLevelType w:val="hybridMultilevel"/>
    <w:tmpl w:val="A770F57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4">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8">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0">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39483457"/>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3">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nsid w:val="40C4588E"/>
    <w:multiLevelType w:val="hybridMultilevel"/>
    <w:tmpl w:val="3F46D55C"/>
    <w:lvl w:ilvl="0" w:tplc="DFCAFEA2">
      <w:start w:val="1"/>
      <w:numFmt w:val="decimal"/>
      <w:lvlText w:val="%1."/>
      <w:lvlJc w:val="left"/>
      <w:pPr>
        <w:tabs>
          <w:tab w:val="num" w:pos="360"/>
        </w:tabs>
        <w:ind w:left="360" w:hanging="360"/>
      </w:pPr>
      <w:rPr>
        <w:rFonts w:ascii="Arial" w:eastAsia="Times New Roman" w:hAnsi="Arial" w:cs="Arial"/>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4B0667C3"/>
    <w:multiLevelType w:val="hybridMultilevel"/>
    <w:tmpl w:val="C324F6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7">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9">
    <w:nsid w:val="57BC1358"/>
    <w:multiLevelType w:val="hybridMultilevel"/>
    <w:tmpl w:val="2690A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8447381"/>
    <w:multiLevelType w:val="hybridMultilevel"/>
    <w:tmpl w:val="E8F253E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0539A5"/>
    <w:multiLevelType w:val="hybridMultilevel"/>
    <w:tmpl w:val="F3D0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3">
    <w:nsid w:val="69A41698"/>
    <w:multiLevelType w:val="hybridMultilevel"/>
    <w:tmpl w:val="DAF0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7">
    <w:nsid w:val="79394298"/>
    <w:multiLevelType w:val="hybridMultilevel"/>
    <w:tmpl w:val="2708B4C8"/>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18"/>
  </w:num>
  <w:num w:numId="4">
    <w:abstractNumId w:val="17"/>
  </w:num>
  <w:num w:numId="5">
    <w:abstractNumId w:val="32"/>
  </w:num>
  <w:num w:numId="6">
    <w:abstractNumId w:val="19"/>
  </w:num>
  <w:num w:numId="7">
    <w:abstractNumId w:val="23"/>
  </w:num>
  <w:num w:numId="8">
    <w:abstractNumId w:val="13"/>
  </w:num>
  <w:num w:numId="9">
    <w:abstractNumId w:val="38"/>
  </w:num>
  <w:num w:numId="10">
    <w:abstractNumId w:val="28"/>
  </w:num>
  <w:num w:numId="11">
    <w:abstractNumId w:val="26"/>
  </w:num>
  <w:num w:numId="12">
    <w:abstractNumId w:val="22"/>
  </w:num>
  <w:num w:numId="13">
    <w:abstractNumId w:val="4"/>
  </w:num>
  <w:num w:numId="14">
    <w:abstractNumId w:val="27"/>
  </w:num>
  <w:num w:numId="15">
    <w:abstractNumId w:val="34"/>
  </w:num>
  <w:num w:numId="16">
    <w:abstractNumId w:val="7"/>
  </w:num>
  <w:num w:numId="17">
    <w:abstractNumId w:val="9"/>
  </w:num>
  <w:num w:numId="18">
    <w:abstractNumId w:val="35"/>
  </w:num>
  <w:num w:numId="19">
    <w:abstractNumId w:val="36"/>
  </w:num>
  <w:num w:numId="20">
    <w:abstractNumId w:val="16"/>
  </w:num>
  <w:num w:numId="21">
    <w:abstractNumId w:val="20"/>
  </w:num>
  <w:num w:numId="22">
    <w:abstractNumId w:val="3"/>
  </w:num>
  <w:num w:numId="23">
    <w:abstractNumId w:val="6"/>
  </w:num>
  <w:num w:numId="24">
    <w:abstractNumId w:val="2"/>
  </w:num>
  <w:num w:numId="25">
    <w:abstractNumId w:val="1"/>
  </w:num>
  <w:num w:numId="26">
    <w:abstractNumId w:val="0"/>
  </w:num>
  <w:num w:numId="27">
    <w:abstractNumId w:val="21"/>
  </w:num>
  <w:num w:numId="28">
    <w:abstractNumId w:val="15"/>
  </w:num>
  <w:num w:numId="29">
    <w:abstractNumId w:val="11"/>
  </w:num>
  <w:num w:numId="30">
    <w:abstractNumId w:val="25"/>
  </w:num>
  <w:num w:numId="31">
    <w:abstractNumId w:val="10"/>
  </w:num>
  <w:num w:numId="32">
    <w:abstractNumId w:val="30"/>
  </w:num>
  <w:num w:numId="33">
    <w:abstractNumId w:val="37"/>
  </w:num>
  <w:num w:numId="34">
    <w:abstractNumId w:val="12"/>
  </w:num>
  <w:num w:numId="35">
    <w:abstractNumId w:val="33"/>
  </w:num>
  <w:num w:numId="36">
    <w:abstractNumId w:val="31"/>
  </w:num>
  <w:num w:numId="37">
    <w:abstractNumId w:val="8"/>
  </w:num>
  <w:num w:numId="38">
    <w:abstractNumId w:val="29"/>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2149C"/>
    <w:rsid w:val="00023829"/>
    <w:rsid w:val="00023DA7"/>
    <w:rsid w:val="00026E55"/>
    <w:rsid w:val="00026FC0"/>
    <w:rsid w:val="00031A40"/>
    <w:rsid w:val="00036FC5"/>
    <w:rsid w:val="000446A9"/>
    <w:rsid w:val="00044961"/>
    <w:rsid w:val="0005314C"/>
    <w:rsid w:val="00055199"/>
    <w:rsid w:val="00056156"/>
    <w:rsid w:val="00061528"/>
    <w:rsid w:val="00064CFE"/>
    <w:rsid w:val="00070B46"/>
    <w:rsid w:val="000857BA"/>
    <w:rsid w:val="00085DF3"/>
    <w:rsid w:val="000921D3"/>
    <w:rsid w:val="00093C26"/>
    <w:rsid w:val="000A4391"/>
    <w:rsid w:val="000B5164"/>
    <w:rsid w:val="000B5D67"/>
    <w:rsid w:val="000B7E9D"/>
    <w:rsid w:val="000C6F5D"/>
    <w:rsid w:val="000D44E8"/>
    <w:rsid w:val="000D5742"/>
    <w:rsid w:val="000E0857"/>
    <w:rsid w:val="000E270B"/>
    <w:rsid w:val="000E2C26"/>
    <w:rsid w:val="000E3878"/>
    <w:rsid w:val="00102EC5"/>
    <w:rsid w:val="001042A3"/>
    <w:rsid w:val="00107D02"/>
    <w:rsid w:val="001111D1"/>
    <w:rsid w:val="00146156"/>
    <w:rsid w:val="001520D8"/>
    <w:rsid w:val="00154CFC"/>
    <w:rsid w:val="00167904"/>
    <w:rsid w:val="001720CE"/>
    <w:rsid w:val="001733FC"/>
    <w:rsid w:val="0017634C"/>
    <w:rsid w:val="00176FD8"/>
    <w:rsid w:val="001770AE"/>
    <w:rsid w:val="00177F5E"/>
    <w:rsid w:val="00183E96"/>
    <w:rsid w:val="001923A2"/>
    <w:rsid w:val="001932C3"/>
    <w:rsid w:val="001A559D"/>
    <w:rsid w:val="001A77C8"/>
    <w:rsid w:val="001A7A41"/>
    <w:rsid w:val="001B0AFE"/>
    <w:rsid w:val="001B6A33"/>
    <w:rsid w:val="001C4689"/>
    <w:rsid w:val="001C5268"/>
    <w:rsid w:val="001D2F63"/>
    <w:rsid w:val="001D5E87"/>
    <w:rsid w:val="001E325C"/>
    <w:rsid w:val="001F007B"/>
    <w:rsid w:val="001F04A6"/>
    <w:rsid w:val="001F6671"/>
    <w:rsid w:val="001F7006"/>
    <w:rsid w:val="002000D6"/>
    <w:rsid w:val="00204BF3"/>
    <w:rsid w:val="0021392B"/>
    <w:rsid w:val="00214949"/>
    <w:rsid w:val="00223926"/>
    <w:rsid w:val="00225689"/>
    <w:rsid w:val="00226965"/>
    <w:rsid w:val="00235C05"/>
    <w:rsid w:val="00237202"/>
    <w:rsid w:val="0024352A"/>
    <w:rsid w:val="00246E13"/>
    <w:rsid w:val="002560D3"/>
    <w:rsid w:val="0025692F"/>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C6C9F"/>
    <w:rsid w:val="002C7F10"/>
    <w:rsid w:val="002D1214"/>
    <w:rsid w:val="002D3B18"/>
    <w:rsid w:val="002D5F70"/>
    <w:rsid w:val="002D6816"/>
    <w:rsid w:val="002E5F84"/>
    <w:rsid w:val="002F633D"/>
    <w:rsid w:val="002F72AC"/>
    <w:rsid w:val="0030363E"/>
    <w:rsid w:val="00305876"/>
    <w:rsid w:val="00306A8C"/>
    <w:rsid w:val="00317F00"/>
    <w:rsid w:val="00325E5A"/>
    <w:rsid w:val="003268EF"/>
    <w:rsid w:val="0032712D"/>
    <w:rsid w:val="003315FB"/>
    <w:rsid w:val="00344124"/>
    <w:rsid w:val="00344306"/>
    <w:rsid w:val="00345B2E"/>
    <w:rsid w:val="0035119B"/>
    <w:rsid w:val="00351C11"/>
    <w:rsid w:val="00352D49"/>
    <w:rsid w:val="00354EEA"/>
    <w:rsid w:val="00355088"/>
    <w:rsid w:val="00356D09"/>
    <w:rsid w:val="0036273E"/>
    <w:rsid w:val="00367B75"/>
    <w:rsid w:val="00377489"/>
    <w:rsid w:val="00387390"/>
    <w:rsid w:val="0038774F"/>
    <w:rsid w:val="00395AFA"/>
    <w:rsid w:val="0039770E"/>
    <w:rsid w:val="003A21C9"/>
    <w:rsid w:val="003A4B2D"/>
    <w:rsid w:val="003B3F0B"/>
    <w:rsid w:val="003B4D0C"/>
    <w:rsid w:val="003C07E3"/>
    <w:rsid w:val="003C7253"/>
    <w:rsid w:val="003C79C0"/>
    <w:rsid w:val="003D0D16"/>
    <w:rsid w:val="003E4775"/>
    <w:rsid w:val="003E4A2B"/>
    <w:rsid w:val="003F6A8D"/>
    <w:rsid w:val="003F7227"/>
    <w:rsid w:val="0040140B"/>
    <w:rsid w:val="004058B2"/>
    <w:rsid w:val="0040710D"/>
    <w:rsid w:val="0041122D"/>
    <w:rsid w:val="00411CA0"/>
    <w:rsid w:val="00411EA4"/>
    <w:rsid w:val="00413042"/>
    <w:rsid w:val="0041391A"/>
    <w:rsid w:val="00425D2E"/>
    <w:rsid w:val="00427D70"/>
    <w:rsid w:val="004355AD"/>
    <w:rsid w:val="00435926"/>
    <w:rsid w:val="0043621C"/>
    <w:rsid w:val="004404C8"/>
    <w:rsid w:val="00451174"/>
    <w:rsid w:val="00455E01"/>
    <w:rsid w:val="00455F42"/>
    <w:rsid w:val="00490626"/>
    <w:rsid w:val="00494EE5"/>
    <w:rsid w:val="004A4C11"/>
    <w:rsid w:val="004A52B9"/>
    <w:rsid w:val="004A55C4"/>
    <w:rsid w:val="004B0712"/>
    <w:rsid w:val="004B524E"/>
    <w:rsid w:val="004C0A4A"/>
    <w:rsid w:val="004C4029"/>
    <w:rsid w:val="004C55C3"/>
    <w:rsid w:val="004C60EE"/>
    <w:rsid w:val="004D1708"/>
    <w:rsid w:val="004D5448"/>
    <w:rsid w:val="004D572C"/>
    <w:rsid w:val="004D7770"/>
    <w:rsid w:val="004E7913"/>
    <w:rsid w:val="004F3272"/>
    <w:rsid w:val="00501701"/>
    <w:rsid w:val="00511FEB"/>
    <w:rsid w:val="00512160"/>
    <w:rsid w:val="00514483"/>
    <w:rsid w:val="00522EDB"/>
    <w:rsid w:val="005238A1"/>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55FC"/>
    <w:rsid w:val="00576208"/>
    <w:rsid w:val="00582CCF"/>
    <w:rsid w:val="00585608"/>
    <w:rsid w:val="005914F2"/>
    <w:rsid w:val="005925EB"/>
    <w:rsid w:val="0059397E"/>
    <w:rsid w:val="005A0597"/>
    <w:rsid w:val="005A16A4"/>
    <w:rsid w:val="005A2471"/>
    <w:rsid w:val="005B44EE"/>
    <w:rsid w:val="005C1938"/>
    <w:rsid w:val="005C419D"/>
    <w:rsid w:val="005C4C1D"/>
    <w:rsid w:val="005D1D42"/>
    <w:rsid w:val="005E00A5"/>
    <w:rsid w:val="005F5DA8"/>
    <w:rsid w:val="00600DC9"/>
    <w:rsid w:val="00602597"/>
    <w:rsid w:val="00603174"/>
    <w:rsid w:val="00613895"/>
    <w:rsid w:val="006152D9"/>
    <w:rsid w:val="006157D3"/>
    <w:rsid w:val="0061643E"/>
    <w:rsid w:val="00616FA7"/>
    <w:rsid w:val="006229A6"/>
    <w:rsid w:val="00624CCF"/>
    <w:rsid w:val="006253BD"/>
    <w:rsid w:val="0064288D"/>
    <w:rsid w:val="006514EB"/>
    <w:rsid w:val="00654BCA"/>
    <w:rsid w:val="00661DDD"/>
    <w:rsid w:val="006637B1"/>
    <w:rsid w:val="00663CD7"/>
    <w:rsid w:val="00673DC4"/>
    <w:rsid w:val="0068196E"/>
    <w:rsid w:val="006846E7"/>
    <w:rsid w:val="00692823"/>
    <w:rsid w:val="006A5C20"/>
    <w:rsid w:val="006B2527"/>
    <w:rsid w:val="006B6AB2"/>
    <w:rsid w:val="006C2AA1"/>
    <w:rsid w:val="006D7159"/>
    <w:rsid w:val="006D78F8"/>
    <w:rsid w:val="006E1419"/>
    <w:rsid w:val="006E294E"/>
    <w:rsid w:val="006E3693"/>
    <w:rsid w:val="006E4517"/>
    <w:rsid w:val="006E7423"/>
    <w:rsid w:val="0070568F"/>
    <w:rsid w:val="00706232"/>
    <w:rsid w:val="00706B71"/>
    <w:rsid w:val="00716100"/>
    <w:rsid w:val="00717C7E"/>
    <w:rsid w:val="00717DFA"/>
    <w:rsid w:val="007237B6"/>
    <w:rsid w:val="0073473E"/>
    <w:rsid w:val="0073634D"/>
    <w:rsid w:val="00742E6F"/>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D7961"/>
    <w:rsid w:val="007E25DD"/>
    <w:rsid w:val="007E5820"/>
    <w:rsid w:val="007E698F"/>
    <w:rsid w:val="007F38F2"/>
    <w:rsid w:val="008041A5"/>
    <w:rsid w:val="008044BF"/>
    <w:rsid w:val="0081231C"/>
    <w:rsid w:val="008151C8"/>
    <w:rsid w:val="008165A8"/>
    <w:rsid w:val="008167D0"/>
    <w:rsid w:val="008178A7"/>
    <w:rsid w:val="0082358C"/>
    <w:rsid w:val="00824B1A"/>
    <w:rsid w:val="00830DCD"/>
    <w:rsid w:val="00847B4C"/>
    <w:rsid w:val="0085515C"/>
    <w:rsid w:val="008617E8"/>
    <w:rsid w:val="0086375A"/>
    <w:rsid w:val="008A1B2D"/>
    <w:rsid w:val="008A2257"/>
    <w:rsid w:val="008A7300"/>
    <w:rsid w:val="008B10FA"/>
    <w:rsid w:val="008B34F0"/>
    <w:rsid w:val="008C02DC"/>
    <w:rsid w:val="008C727D"/>
    <w:rsid w:val="008D0717"/>
    <w:rsid w:val="008D07C3"/>
    <w:rsid w:val="008D2D60"/>
    <w:rsid w:val="008E51E7"/>
    <w:rsid w:val="008F301F"/>
    <w:rsid w:val="009027EB"/>
    <w:rsid w:val="00905384"/>
    <w:rsid w:val="00907B09"/>
    <w:rsid w:val="00910BFF"/>
    <w:rsid w:val="00920F4F"/>
    <w:rsid w:val="00924DF5"/>
    <w:rsid w:val="00925F71"/>
    <w:rsid w:val="009273D2"/>
    <w:rsid w:val="009320BA"/>
    <w:rsid w:val="00935B42"/>
    <w:rsid w:val="00941872"/>
    <w:rsid w:val="00941A31"/>
    <w:rsid w:val="00942682"/>
    <w:rsid w:val="00942FFC"/>
    <w:rsid w:val="00953A88"/>
    <w:rsid w:val="00954598"/>
    <w:rsid w:val="00957B03"/>
    <w:rsid w:val="00965496"/>
    <w:rsid w:val="00974E8F"/>
    <w:rsid w:val="009753B1"/>
    <w:rsid w:val="00982707"/>
    <w:rsid w:val="009836D5"/>
    <w:rsid w:val="00987B5F"/>
    <w:rsid w:val="00990C26"/>
    <w:rsid w:val="00991648"/>
    <w:rsid w:val="009927EF"/>
    <w:rsid w:val="00994C5C"/>
    <w:rsid w:val="009A1B12"/>
    <w:rsid w:val="009B0611"/>
    <w:rsid w:val="009B1535"/>
    <w:rsid w:val="009C58F5"/>
    <w:rsid w:val="009C63C1"/>
    <w:rsid w:val="009D107F"/>
    <w:rsid w:val="009E1045"/>
    <w:rsid w:val="009E7251"/>
    <w:rsid w:val="009F2988"/>
    <w:rsid w:val="009F42E5"/>
    <w:rsid w:val="00A0227A"/>
    <w:rsid w:val="00A0346A"/>
    <w:rsid w:val="00A071E2"/>
    <w:rsid w:val="00A07851"/>
    <w:rsid w:val="00A123F8"/>
    <w:rsid w:val="00A12D89"/>
    <w:rsid w:val="00A146D0"/>
    <w:rsid w:val="00A27C05"/>
    <w:rsid w:val="00A33DC7"/>
    <w:rsid w:val="00A4210D"/>
    <w:rsid w:val="00A500AA"/>
    <w:rsid w:val="00A562B7"/>
    <w:rsid w:val="00A60046"/>
    <w:rsid w:val="00A63715"/>
    <w:rsid w:val="00A63AD9"/>
    <w:rsid w:val="00A677EF"/>
    <w:rsid w:val="00A71697"/>
    <w:rsid w:val="00A71D05"/>
    <w:rsid w:val="00A732AC"/>
    <w:rsid w:val="00A740C4"/>
    <w:rsid w:val="00A83B75"/>
    <w:rsid w:val="00A905C8"/>
    <w:rsid w:val="00A94443"/>
    <w:rsid w:val="00A94E17"/>
    <w:rsid w:val="00A96EA6"/>
    <w:rsid w:val="00AA37FB"/>
    <w:rsid w:val="00AA4C50"/>
    <w:rsid w:val="00AA51DE"/>
    <w:rsid w:val="00AA6B23"/>
    <w:rsid w:val="00AB02C7"/>
    <w:rsid w:val="00AB055E"/>
    <w:rsid w:val="00AB1EC3"/>
    <w:rsid w:val="00AC215B"/>
    <w:rsid w:val="00AD1893"/>
    <w:rsid w:val="00AD1D40"/>
    <w:rsid w:val="00AD474A"/>
    <w:rsid w:val="00AD6DBD"/>
    <w:rsid w:val="00AE685A"/>
    <w:rsid w:val="00AE7C49"/>
    <w:rsid w:val="00AF0A8F"/>
    <w:rsid w:val="00AF3DCF"/>
    <w:rsid w:val="00B04E45"/>
    <w:rsid w:val="00B078F9"/>
    <w:rsid w:val="00B117E8"/>
    <w:rsid w:val="00B204C5"/>
    <w:rsid w:val="00B30C24"/>
    <w:rsid w:val="00B30E32"/>
    <w:rsid w:val="00B34474"/>
    <w:rsid w:val="00B3475A"/>
    <w:rsid w:val="00B42E7B"/>
    <w:rsid w:val="00B47644"/>
    <w:rsid w:val="00B47F15"/>
    <w:rsid w:val="00B537D9"/>
    <w:rsid w:val="00B55B46"/>
    <w:rsid w:val="00B56F80"/>
    <w:rsid w:val="00B61110"/>
    <w:rsid w:val="00B6146A"/>
    <w:rsid w:val="00B634B3"/>
    <w:rsid w:val="00B65278"/>
    <w:rsid w:val="00B755C7"/>
    <w:rsid w:val="00B83AEB"/>
    <w:rsid w:val="00B84E28"/>
    <w:rsid w:val="00B95146"/>
    <w:rsid w:val="00BA1604"/>
    <w:rsid w:val="00BA5FC0"/>
    <w:rsid w:val="00BA682B"/>
    <w:rsid w:val="00BB0466"/>
    <w:rsid w:val="00BB0D4E"/>
    <w:rsid w:val="00BB5732"/>
    <w:rsid w:val="00BB7989"/>
    <w:rsid w:val="00BC022A"/>
    <w:rsid w:val="00BD2D08"/>
    <w:rsid w:val="00BE1A41"/>
    <w:rsid w:val="00BE24DF"/>
    <w:rsid w:val="00BF0B8D"/>
    <w:rsid w:val="00BF12E5"/>
    <w:rsid w:val="00BF3B8E"/>
    <w:rsid w:val="00BF54E1"/>
    <w:rsid w:val="00BF7880"/>
    <w:rsid w:val="00C0122A"/>
    <w:rsid w:val="00C036CE"/>
    <w:rsid w:val="00C04288"/>
    <w:rsid w:val="00C12BF5"/>
    <w:rsid w:val="00C130E4"/>
    <w:rsid w:val="00C16F4A"/>
    <w:rsid w:val="00C27094"/>
    <w:rsid w:val="00C318E5"/>
    <w:rsid w:val="00C52F42"/>
    <w:rsid w:val="00C56477"/>
    <w:rsid w:val="00C56705"/>
    <w:rsid w:val="00C57C7F"/>
    <w:rsid w:val="00C61255"/>
    <w:rsid w:val="00C62D32"/>
    <w:rsid w:val="00C63821"/>
    <w:rsid w:val="00C65F03"/>
    <w:rsid w:val="00C77D1A"/>
    <w:rsid w:val="00C809D0"/>
    <w:rsid w:val="00C82E3A"/>
    <w:rsid w:val="00C83BF7"/>
    <w:rsid w:val="00C91E2E"/>
    <w:rsid w:val="00C92217"/>
    <w:rsid w:val="00C95D11"/>
    <w:rsid w:val="00CA1B05"/>
    <w:rsid w:val="00CA6453"/>
    <w:rsid w:val="00CA6DEA"/>
    <w:rsid w:val="00CB0A24"/>
    <w:rsid w:val="00CB2BA6"/>
    <w:rsid w:val="00CB7BCA"/>
    <w:rsid w:val="00CC122D"/>
    <w:rsid w:val="00CD6BDE"/>
    <w:rsid w:val="00CE20FD"/>
    <w:rsid w:val="00CE22B5"/>
    <w:rsid w:val="00CE5178"/>
    <w:rsid w:val="00CF09EF"/>
    <w:rsid w:val="00CF121F"/>
    <w:rsid w:val="00CF181D"/>
    <w:rsid w:val="00CF68B1"/>
    <w:rsid w:val="00D0216B"/>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718ED"/>
    <w:rsid w:val="00D769EC"/>
    <w:rsid w:val="00D778F2"/>
    <w:rsid w:val="00D81C28"/>
    <w:rsid w:val="00D91CD9"/>
    <w:rsid w:val="00D91D63"/>
    <w:rsid w:val="00D9517C"/>
    <w:rsid w:val="00D97030"/>
    <w:rsid w:val="00DA2F90"/>
    <w:rsid w:val="00DD0A13"/>
    <w:rsid w:val="00DD6341"/>
    <w:rsid w:val="00DE2CCD"/>
    <w:rsid w:val="00DE56AA"/>
    <w:rsid w:val="00DF5E44"/>
    <w:rsid w:val="00E14AB9"/>
    <w:rsid w:val="00E25B7C"/>
    <w:rsid w:val="00E34DA4"/>
    <w:rsid w:val="00E37CE0"/>
    <w:rsid w:val="00E41117"/>
    <w:rsid w:val="00E44494"/>
    <w:rsid w:val="00E565D9"/>
    <w:rsid w:val="00E571A4"/>
    <w:rsid w:val="00E61154"/>
    <w:rsid w:val="00E6258F"/>
    <w:rsid w:val="00E64B23"/>
    <w:rsid w:val="00E67F16"/>
    <w:rsid w:val="00E816DF"/>
    <w:rsid w:val="00E82208"/>
    <w:rsid w:val="00E83C5E"/>
    <w:rsid w:val="00E84AB0"/>
    <w:rsid w:val="00E86C3E"/>
    <w:rsid w:val="00E87F95"/>
    <w:rsid w:val="00E94FCF"/>
    <w:rsid w:val="00EC0B78"/>
    <w:rsid w:val="00EC3D97"/>
    <w:rsid w:val="00EC5FC4"/>
    <w:rsid w:val="00ED2926"/>
    <w:rsid w:val="00ED40C5"/>
    <w:rsid w:val="00ED7E3A"/>
    <w:rsid w:val="00EE0B27"/>
    <w:rsid w:val="00EE5C63"/>
    <w:rsid w:val="00EE6308"/>
    <w:rsid w:val="00EF00DF"/>
    <w:rsid w:val="00EF5013"/>
    <w:rsid w:val="00EF7644"/>
    <w:rsid w:val="00F00C2F"/>
    <w:rsid w:val="00F00E8B"/>
    <w:rsid w:val="00F05D5D"/>
    <w:rsid w:val="00F179C5"/>
    <w:rsid w:val="00F22307"/>
    <w:rsid w:val="00F22BAA"/>
    <w:rsid w:val="00F2458A"/>
    <w:rsid w:val="00F24720"/>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EB66D3"/>
  <w15:docId w15:val="{9DB928E9-D0B0-45C3-9019-745B0255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rsid w:val="0017634C"/>
    <w:pPr>
      <w:spacing w:after="120" w:line="240" w:lineRule="auto"/>
      <w:ind w:left="720"/>
      <w:jc w:val="both"/>
    </w:pPr>
    <w:rPr>
      <w:rFonts w:ascii="Arial" w:eastAsia="Times New Roman" w:hAnsi="Arial" w:cs="Times New Roman"/>
      <w:szCs w:val="20"/>
      <w:lang w:val="en-GB"/>
    </w:rPr>
  </w:style>
  <w:style w:type="paragraph" w:customStyle="1" w:styleId="NormalBullet">
    <w:name w:val="Normal Bullet"/>
    <w:basedOn w:val="NormalIndent"/>
    <w:rsid w:val="00183E96"/>
    <w:pPr>
      <w:numPr>
        <w:numId w:val="37"/>
      </w:numPr>
    </w:pPr>
  </w:style>
  <w:style w:type="character" w:customStyle="1" w:styleId="style11">
    <w:name w:val="style11"/>
    <w:basedOn w:val="DefaultParagraphFont"/>
    <w:rsid w:val="006B2527"/>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3032">
      <w:bodyDiv w:val="1"/>
      <w:marLeft w:val="0"/>
      <w:marRight w:val="0"/>
      <w:marTop w:val="0"/>
      <w:marBottom w:val="0"/>
      <w:divBdr>
        <w:top w:val="none" w:sz="0" w:space="0" w:color="auto"/>
        <w:left w:val="none" w:sz="0" w:space="0" w:color="auto"/>
        <w:bottom w:val="none" w:sz="0" w:space="0" w:color="auto"/>
        <w:right w:val="none" w:sz="0" w:space="0" w:color="auto"/>
      </w:divBdr>
    </w:div>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56416">
      <w:bodyDiv w:val="1"/>
      <w:marLeft w:val="0"/>
      <w:marRight w:val="0"/>
      <w:marTop w:val="0"/>
      <w:marBottom w:val="0"/>
      <w:divBdr>
        <w:top w:val="none" w:sz="0" w:space="0" w:color="auto"/>
        <w:left w:val="none" w:sz="0" w:space="0" w:color="auto"/>
        <w:bottom w:val="none" w:sz="0" w:space="0" w:color="auto"/>
        <w:right w:val="none" w:sz="0" w:space="0" w:color="auto"/>
      </w:divBdr>
    </w:div>
    <w:div w:id="885027349">
      <w:bodyDiv w:val="1"/>
      <w:marLeft w:val="0"/>
      <w:marRight w:val="0"/>
      <w:marTop w:val="0"/>
      <w:marBottom w:val="0"/>
      <w:divBdr>
        <w:top w:val="none" w:sz="0" w:space="0" w:color="auto"/>
        <w:left w:val="none" w:sz="0" w:space="0" w:color="auto"/>
        <w:bottom w:val="none" w:sz="0" w:space="0" w:color="auto"/>
        <w:right w:val="none" w:sz="0" w:space="0" w:color="auto"/>
      </w:divBdr>
      <w:divsChild>
        <w:div w:id="700277872">
          <w:marLeft w:val="0"/>
          <w:marRight w:val="0"/>
          <w:marTop w:val="0"/>
          <w:marBottom w:val="0"/>
          <w:divBdr>
            <w:top w:val="none" w:sz="0" w:space="0" w:color="auto"/>
            <w:left w:val="none" w:sz="0" w:space="0" w:color="auto"/>
            <w:bottom w:val="none" w:sz="0" w:space="0" w:color="auto"/>
            <w:right w:val="none" w:sz="0" w:space="0" w:color="auto"/>
          </w:divBdr>
          <w:divsChild>
            <w:div w:id="398401853">
              <w:marLeft w:val="2655"/>
              <w:marRight w:val="0"/>
              <w:marTop w:val="0"/>
              <w:marBottom w:val="0"/>
              <w:divBdr>
                <w:top w:val="single" w:sz="36" w:space="1" w:color="FFFFFF"/>
                <w:left w:val="single" w:sz="36" w:space="0" w:color="FFFFFF"/>
                <w:bottom w:val="single" w:sz="36" w:space="0" w:color="FFFFFF"/>
                <w:right w:val="single" w:sz="36" w:space="0" w:color="FFFFFF"/>
              </w:divBdr>
              <w:divsChild>
                <w:div w:id="772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513488712">
      <w:bodyDiv w:val="1"/>
      <w:marLeft w:val="0"/>
      <w:marRight w:val="0"/>
      <w:marTop w:val="0"/>
      <w:marBottom w:val="0"/>
      <w:divBdr>
        <w:top w:val="none" w:sz="0" w:space="0" w:color="auto"/>
        <w:left w:val="none" w:sz="0" w:space="0" w:color="auto"/>
        <w:bottom w:val="none" w:sz="0" w:space="0" w:color="auto"/>
        <w:right w:val="none" w:sz="0" w:space="0" w:color="auto"/>
      </w:divBdr>
    </w:div>
    <w:div w:id="1594121336">
      <w:bodyDiv w:val="1"/>
      <w:marLeft w:val="0"/>
      <w:marRight w:val="0"/>
      <w:marTop w:val="0"/>
      <w:marBottom w:val="0"/>
      <w:divBdr>
        <w:top w:val="none" w:sz="0" w:space="0" w:color="auto"/>
        <w:left w:val="none" w:sz="0" w:space="0" w:color="auto"/>
        <w:bottom w:val="none" w:sz="0" w:space="0" w:color="auto"/>
        <w:right w:val="none" w:sz="0" w:space="0" w:color="auto"/>
      </w:divBdr>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C1A9-049A-4F96-BD58-CEB66C583B34}">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BF2848D-8F5A-43A0-AF99-EAA764E1965B}">
  <ds:schemaRefs>
    <ds:schemaRef ds:uri="http://schemas.microsoft.com/sharepoint/v3/contenttype/forms"/>
  </ds:schemaRefs>
</ds:datastoreItem>
</file>

<file path=customXml/itemProps3.xml><?xml version="1.0" encoding="utf-8"?>
<ds:datastoreItem xmlns:ds="http://schemas.openxmlformats.org/officeDocument/2006/customXml" ds:itemID="{A74913D4-68E7-4CEE-B154-7C2CBBF9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5F61B3-7928-4A92-94EB-3B14DFE2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2011-08-12T01:29:00Z</cp:lastPrinted>
  <dcterms:created xsi:type="dcterms:W3CDTF">2015-08-03T20:05:00Z</dcterms:created>
  <dcterms:modified xsi:type="dcterms:W3CDTF">2016-06-15T12:56:00Z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