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32BE4" w14:textId="65ACB185" w:rsidR="00A725BA" w:rsidRDefault="00A725BA" w:rsidP="00760801">
      <w:pPr>
        <w:autoSpaceDE w:val="0"/>
        <w:autoSpaceDN w:val="0"/>
        <w:adjustRightInd w:val="0"/>
        <w:spacing w:after="0" w:line="240" w:lineRule="auto"/>
        <w:rPr>
          <w:rFonts w:ascii="Arial" w:eastAsiaTheme="minorHAnsi" w:hAnsi="Arial" w:cs="Arial"/>
        </w:rPr>
      </w:pPr>
      <w:r w:rsidRPr="00393DD9">
        <w:rPr>
          <w:rFonts w:ascii="Arial" w:hAnsi="Arial" w:cs="Arial"/>
          <w:b/>
        </w:rPr>
        <w:t>PURPOSE:</w:t>
      </w:r>
      <w:r w:rsidR="00823B9C">
        <w:rPr>
          <w:rFonts w:ascii="Arial" w:hAnsi="Arial" w:cs="Arial"/>
          <w:b/>
        </w:rPr>
        <w:t xml:space="preserve"> </w:t>
      </w:r>
      <w:r w:rsidR="00823B9C" w:rsidRPr="00823B9C">
        <w:rPr>
          <w:rFonts w:ascii="Arial" w:hAnsi="Arial" w:cs="Arial"/>
        </w:rPr>
        <w:t>The purpose of this SOP</w:t>
      </w:r>
      <w:r w:rsidR="009608E0">
        <w:rPr>
          <w:rFonts w:ascii="Arial" w:hAnsi="Arial" w:cs="Arial"/>
        </w:rPr>
        <w:t xml:space="preserve"> is to describe the p</w:t>
      </w:r>
      <w:r w:rsidR="00244D8C">
        <w:rPr>
          <w:rFonts w:ascii="Arial" w:hAnsi="Arial" w:cs="Arial"/>
        </w:rPr>
        <w:t>rocedures to be followed fo</w:t>
      </w:r>
      <w:r w:rsidR="00D42291">
        <w:rPr>
          <w:rFonts w:ascii="Arial" w:hAnsi="Arial" w:cs="Arial"/>
        </w:rPr>
        <w:t xml:space="preserve">r </w:t>
      </w:r>
      <w:r w:rsidR="00E20D03">
        <w:rPr>
          <w:rFonts w:ascii="Arial" w:hAnsi="Arial" w:cs="Arial"/>
        </w:rPr>
        <w:t>temperature monitoring of i</w:t>
      </w:r>
      <w:r w:rsidR="00D42291">
        <w:rPr>
          <w:rFonts w:ascii="Arial" w:hAnsi="Arial" w:cs="Arial"/>
        </w:rPr>
        <w:t>nvestigational products</w:t>
      </w:r>
      <w:r w:rsidR="00E20D03">
        <w:rPr>
          <w:rFonts w:ascii="Arial" w:hAnsi="Arial" w:cs="Arial"/>
        </w:rPr>
        <w:t xml:space="preserve"> and biological substances stored in the CRC for research studies</w:t>
      </w:r>
      <w:r w:rsidR="009608E0">
        <w:rPr>
          <w:rFonts w:ascii="Arial" w:hAnsi="Arial" w:cs="Arial"/>
        </w:rPr>
        <w:t>.</w:t>
      </w:r>
      <w:r w:rsidR="00D42291">
        <w:rPr>
          <w:rFonts w:ascii="Arial" w:hAnsi="Arial" w:cs="Arial"/>
        </w:rPr>
        <w:t xml:space="preserve"> </w:t>
      </w:r>
      <w:r w:rsidR="00D42291">
        <w:rPr>
          <w:rFonts w:ascii="Arial" w:eastAsiaTheme="minorHAnsi" w:hAnsi="Arial" w:cs="Arial"/>
        </w:rPr>
        <w:t>The following procedure must be followed in order to avoi</w:t>
      </w:r>
      <w:r w:rsidR="00760801">
        <w:rPr>
          <w:rFonts w:ascii="Arial" w:eastAsiaTheme="minorHAnsi" w:hAnsi="Arial" w:cs="Arial"/>
        </w:rPr>
        <w:t>d the risk that unstable.</w:t>
      </w:r>
    </w:p>
    <w:p w14:paraId="6882315D" w14:textId="77777777" w:rsidR="00760801" w:rsidRPr="00760801" w:rsidRDefault="00760801" w:rsidP="00EF1F8D">
      <w:pPr>
        <w:autoSpaceDE w:val="0"/>
        <w:autoSpaceDN w:val="0"/>
        <w:adjustRightInd w:val="0"/>
        <w:spacing w:after="0" w:line="240" w:lineRule="auto"/>
        <w:rPr>
          <w:rFonts w:ascii="Arial" w:eastAsiaTheme="minorHAnsi" w:hAnsi="Arial" w:cs="Arial"/>
        </w:rPr>
      </w:pPr>
    </w:p>
    <w:p w14:paraId="5BB32BE5" w14:textId="5F77DCEC" w:rsidR="00A725BA" w:rsidRPr="009608E0" w:rsidRDefault="00A725BA" w:rsidP="00EF1F8D">
      <w:pPr>
        <w:spacing w:line="240" w:lineRule="auto"/>
        <w:rPr>
          <w:rFonts w:ascii="Arial" w:hAnsi="Arial" w:cs="Arial"/>
        </w:rPr>
      </w:pPr>
      <w:r w:rsidRPr="00393DD9">
        <w:rPr>
          <w:rFonts w:ascii="Arial" w:hAnsi="Arial" w:cs="Arial"/>
          <w:b/>
        </w:rPr>
        <w:t>SCOPE:</w:t>
      </w:r>
      <w:r w:rsidR="009608E0">
        <w:rPr>
          <w:rFonts w:ascii="Arial" w:hAnsi="Arial" w:cs="Arial"/>
          <w:b/>
        </w:rPr>
        <w:t xml:space="preserve"> </w:t>
      </w:r>
      <w:r w:rsidR="0003364D" w:rsidRPr="0003364D">
        <w:rPr>
          <w:rFonts w:ascii="Arial" w:hAnsi="Arial" w:cs="Arial"/>
        </w:rPr>
        <w:t xml:space="preserve">This </w:t>
      </w:r>
      <w:r w:rsidR="00E20D03">
        <w:rPr>
          <w:rFonts w:ascii="Arial" w:hAnsi="Arial" w:cs="Arial"/>
        </w:rPr>
        <w:t>SOP applies to</w:t>
      </w:r>
      <w:r w:rsidR="00DA7DC2">
        <w:rPr>
          <w:rFonts w:ascii="Arial" w:hAnsi="Arial" w:cs="Arial"/>
        </w:rPr>
        <w:t xml:space="preserve"> Investigators and research personnel who use the CRC to store and monitor investigational products</w:t>
      </w:r>
      <w:r w:rsidR="0003364D" w:rsidRPr="0003364D">
        <w:rPr>
          <w:rFonts w:ascii="Arial" w:hAnsi="Arial" w:cs="Arial"/>
        </w:rPr>
        <w:t>, vaccines and specimens in the CRC.</w:t>
      </w:r>
    </w:p>
    <w:p w14:paraId="5BB32BE6" w14:textId="5B67CCFF" w:rsidR="00A725BA" w:rsidRPr="006F2382" w:rsidRDefault="00A725BA" w:rsidP="006F2382">
      <w:pPr>
        <w:spacing w:line="240" w:lineRule="auto"/>
        <w:rPr>
          <w:rFonts w:ascii="Arial" w:hAnsi="Arial" w:cs="Arial"/>
        </w:rPr>
      </w:pPr>
      <w:r>
        <w:rPr>
          <w:rFonts w:ascii="Arial" w:hAnsi="Arial" w:cs="Arial"/>
          <w:b/>
        </w:rPr>
        <w:t>RESPONSIBILITIES:</w:t>
      </w:r>
      <w:r w:rsidR="006F2382">
        <w:rPr>
          <w:rFonts w:ascii="Arial" w:hAnsi="Arial" w:cs="Arial"/>
          <w:b/>
        </w:rPr>
        <w:t xml:space="preserve"> </w:t>
      </w:r>
      <w:r w:rsidR="006F2382" w:rsidRPr="006F2382">
        <w:rPr>
          <w:rFonts w:ascii="Arial" w:hAnsi="Arial" w:cs="Arial"/>
        </w:rPr>
        <w:t>The CRC Manager</w:t>
      </w:r>
      <w:r w:rsidR="006F2382">
        <w:rPr>
          <w:rFonts w:ascii="Arial" w:hAnsi="Arial" w:cs="Arial"/>
        </w:rPr>
        <w:t xml:space="preserve"> and designated study personnel are responsible</w:t>
      </w:r>
      <w:r w:rsidR="0003364D">
        <w:rPr>
          <w:rFonts w:ascii="Arial" w:hAnsi="Arial" w:cs="Arial"/>
        </w:rPr>
        <w:t xml:space="preserve"> for </w:t>
      </w:r>
      <w:r w:rsidR="006F2382">
        <w:rPr>
          <w:rFonts w:ascii="Arial" w:hAnsi="Arial" w:cs="Arial"/>
        </w:rPr>
        <w:t xml:space="preserve">temperature monitoring </w:t>
      </w:r>
      <w:r w:rsidR="0003364D">
        <w:rPr>
          <w:rFonts w:ascii="Arial" w:hAnsi="Arial" w:cs="Arial"/>
        </w:rPr>
        <w:t xml:space="preserve">of study medications stored </w:t>
      </w:r>
      <w:r w:rsidR="006F2382">
        <w:rPr>
          <w:rFonts w:ascii="Arial" w:hAnsi="Arial" w:cs="Arial"/>
        </w:rPr>
        <w:t>in the CRC and for reporting any excursions immediately to the appropr</w:t>
      </w:r>
      <w:r w:rsidR="00C3613B">
        <w:rPr>
          <w:rFonts w:ascii="Arial" w:hAnsi="Arial" w:cs="Arial"/>
        </w:rPr>
        <w:t xml:space="preserve">iate PI and study team who will </w:t>
      </w:r>
      <w:r w:rsidR="006F2382">
        <w:rPr>
          <w:rFonts w:ascii="Arial" w:hAnsi="Arial" w:cs="Arial"/>
        </w:rPr>
        <w:t xml:space="preserve">determine if the protocol requires sponsor notification. </w:t>
      </w:r>
    </w:p>
    <w:p w14:paraId="26903552" w14:textId="2318616E" w:rsidR="00C3613B" w:rsidRPr="00C3613B" w:rsidRDefault="00A725BA" w:rsidP="00A725BA">
      <w:pPr>
        <w:rPr>
          <w:rFonts w:ascii="Arial" w:hAnsi="Arial" w:cs="Arial"/>
          <w:b/>
        </w:rPr>
      </w:pPr>
      <w:r w:rsidRPr="00393DD9">
        <w:rPr>
          <w:rFonts w:ascii="Arial" w:hAnsi="Arial" w:cs="Arial"/>
          <w:b/>
        </w:rPr>
        <w:t>DEFINITIONS:</w:t>
      </w:r>
    </w:p>
    <w:p w14:paraId="2903B2DB" w14:textId="136F1D60" w:rsidR="00CA349D" w:rsidRPr="00D91E2B" w:rsidRDefault="00D42291" w:rsidP="00FE00FC">
      <w:pPr>
        <w:spacing w:line="240" w:lineRule="auto"/>
        <w:rPr>
          <w:rFonts w:ascii="Arial" w:hAnsi="Arial" w:cs="Arial"/>
          <w:b/>
        </w:rPr>
      </w:pPr>
      <w:r>
        <w:rPr>
          <w:rFonts w:ascii="Arial" w:hAnsi="Arial" w:cs="Arial"/>
          <w:b/>
        </w:rPr>
        <w:t>Investigational Products (IP)</w:t>
      </w:r>
      <w:r w:rsidR="00CA349D">
        <w:rPr>
          <w:rFonts w:ascii="Arial" w:hAnsi="Arial" w:cs="Arial"/>
          <w:b/>
        </w:rPr>
        <w:t xml:space="preserve">:  </w:t>
      </w:r>
      <w:r w:rsidRPr="00D42291">
        <w:rPr>
          <w:rFonts w:ascii="Arial" w:hAnsi="Arial" w:cs="Arial"/>
        </w:rPr>
        <w:t>A pharmaceutical form of an active ingredient or placebo being tested or used as a reference in a clinical trial, including a product with a marketing authorization when used or assembled (formulated or packaged) in a way different from the approved form, or when used for an unapproved indication, or when used to gain further information about an approved use.</w:t>
      </w:r>
    </w:p>
    <w:p w14:paraId="146DA2E6" w14:textId="1159F1BF" w:rsidR="00D91E2B" w:rsidRPr="00D91E2B" w:rsidRDefault="00D91E2B" w:rsidP="00360671">
      <w:pPr>
        <w:spacing w:line="240" w:lineRule="auto"/>
        <w:rPr>
          <w:rFonts w:ascii="Arial" w:hAnsi="Arial" w:cs="Arial"/>
          <w:b/>
        </w:rPr>
      </w:pPr>
      <w:r>
        <w:rPr>
          <w:rFonts w:ascii="Arial" w:hAnsi="Arial" w:cs="Arial"/>
          <w:b/>
        </w:rPr>
        <w:t>National Institute of Standards and Technology (</w:t>
      </w:r>
      <w:r w:rsidRPr="00D91E2B">
        <w:rPr>
          <w:rFonts w:ascii="Arial" w:hAnsi="Arial" w:cs="Arial"/>
          <w:b/>
        </w:rPr>
        <w:t>NIST</w:t>
      </w:r>
      <w:r>
        <w:rPr>
          <w:rFonts w:ascii="Arial" w:hAnsi="Arial" w:cs="Arial"/>
          <w:b/>
        </w:rPr>
        <w:t>)</w:t>
      </w:r>
      <w:r w:rsidR="0098323D">
        <w:rPr>
          <w:rFonts w:ascii="Arial" w:hAnsi="Arial" w:cs="Arial"/>
          <w:b/>
        </w:rPr>
        <w:t>:</w:t>
      </w:r>
      <w:r w:rsidR="00360671">
        <w:rPr>
          <w:rFonts w:ascii="Arial" w:hAnsi="Arial" w:cs="Arial"/>
          <w:b/>
        </w:rPr>
        <w:t xml:space="preserve"> </w:t>
      </w:r>
      <w:r w:rsidR="00360671" w:rsidRPr="00360671">
        <w:rPr>
          <w:rFonts w:ascii="Arial" w:hAnsi="Arial" w:cs="Arial"/>
        </w:rPr>
        <w:t>A non-regulatory federal agency within the U.S Department of Commerce.  NIST's mission is to promote U.S. innovation and industrial competitiveness by advancing measurement science, standards, and technology in ways that enhance economic security and improve our quality of life.</w:t>
      </w:r>
    </w:p>
    <w:p w14:paraId="5BB32BE8" w14:textId="77777777" w:rsidR="00A725BA" w:rsidRDefault="00A725BA" w:rsidP="00A725BA">
      <w:pPr>
        <w:rPr>
          <w:rFonts w:ascii="Arial" w:hAnsi="Arial" w:cs="Arial"/>
          <w:b/>
        </w:rPr>
      </w:pPr>
      <w:r w:rsidRPr="00393DD9">
        <w:rPr>
          <w:rFonts w:ascii="Arial" w:hAnsi="Arial" w:cs="Arial"/>
          <w:b/>
        </w:rPr>
        <w:t>PROCEDURE:</w:t>
      </w:r>
    </w:p>
    <w:p w14:paraId="22B150A5" w14:textId="00FAFB1F" w:rsidR="00D84002" w:rsidRDefault="00CA349D" w:rsidP="00D84002">
      <w:pPr>
        <w:pStyle w:val="Default"/>
        <w:numPr>
          <w:ilvl w:val="0"/>
          <w:numId w:val="2"/>
        </w:numPr>
        <w:rPr>
          <w:sz w:val="22"/>
          <w:szCs w:val="22"/>
        </w:rPr>
      </w:pPr>
      <w:r>
        <w:rPr>
          <w:sz w:val="22"/>
          <w:szCs w:val="22"/>
        </w:rPr>
        <w:t>The CRC Manager</w:t>
      </w:r>
      <w:r w:rsidR="00360671">
        <w:rPr>
          <w:sz w:val="22"/>
          <w:szCs w:val="22"/>
        </w:rPr>
        <w:t>,</w:t>
      </w:r>
      <w:r>
        <w:rPr>
          <w:sz w:val="22"/>
          <w:szCs w:val="22"/>
        </w:rPr>
        <w:t xml:space="preserve"> or assigned research personnel</w:t>
      </w:r>
      <w:r w:rsidR="00360671">
        <w:rPr>
          <w:sz w:val="22"/>
          <w:szCs w:val="22"/>
        </w:rPr>
        <w:t>,</w:t>
      </w:r>
      <w:r>
        <w:rPr>
          <w:sz w:val="22"/>
          <w:szCs w:val="22"/>
        </w:rPr>
        <w:t xml:space="preserve"> will perform daily t</w:t>
      </w:r>
      <w:r w:rsidR="00D84002">
        <w:rPr>
          <w:sz w:val="22"/>
          <w:szCs w:val="22"/>
        </w:rPr>
        <w:t>emperature mo</w:t>
      </w:r>
      <w:r>
        <w:rPr>
          <w:sz w:val="22"/>
          <w:szCs w:val="22"/>
        </w:rPr>
        <w:t>nitoring</w:t>
      </w:r>
      <w:r w:rsidR="00D84002">
        <w:rPr>
          <w:sz w:val="22"/>
          <w:szCs w:val="22"/>
        </w:rPr>
        <w:t xml:space="preserve"> during normal business hours Monday- Friday </w:t>
      </w:r>
      <w:r w:rsidR="00322B7C">
        <w:rPr>
          <w:sz w:val="22"/>
          <w:szCs w:val="22"/>
        </w:rPr>
        <w:t xml:space="preserve">for the following storage locations </w:t>
      </w:r>
      <w:r w:rsidR="00D84002">
        <w:rPr>
          <w:sz w:val="22"/>
          <w:szCs w:val="22"/>
        </w:rPr>
        <w:t>in the CRC.</w:t>
      </w:r>
      <w:r>
        <w:rPr>
          <w:sz w:val="22"/>
          <w:szCs w:val="22"/>
        </w:rPr>
        <w:t xml:space="preserve">   </w:t>
      </w:r>
    </w:p>
    <w:p w14:paraId="7ED113EF" w14:textId="755B6702" w:rsidR="00D84002" w:rsidRDefault="00322B7C" w:rsidP="00D84002">
      <w:pPr>
        <w:pStyle w:val="Default"/>
        <w:numPr>
          <w:ilvl w:val="0"/>
          <w:numId w:val="3"/>
        </w:numPr>
        <w:rPr>
          <w:sz w:val="22"/>
          <w:szCs w:val="22"/>
        </w:rPr>
      </w:pPr>
      <w:r>
        <w:rPr>
          <w:sz w:val="22"/>
          <w:szCs w:val="22"/>
        </w:rPr>
        <w:t xml:space="preserve">Thermo Scientific </w:t>
      </w:r>
      <w:r w:rsidR="00D84002">
        <w:rPr>
          <w:sz w:val="22"/>
          <w:szCs w:val="22"/>
        </w:rPr>
        <w:t>Minus 80 freezer</w:t>
      </w:r>
    </w:p>
    <w:p w14:paraId="4E8BA4E6" w14:textId="649AE0FC" w:rsidR="00322B7C" w:rsidRDefault="00322B7C" w:rsidP="00D84002">
      <w:pPr>
        <w:pStyle w:val="Default"/>
        <w:numPr>
          <w:ilvl w:val="0"/>
          <w:numId w:val="3"/>
        </w:numPr>
        <w:rPr>
          <w:sz w:val="22"/>
          <w:szCs w:val="22"/>
        </w:rPr>
      </w:pPr>
      <w:r>
        <w:rPr>
          <w:sz w:val="22"/>
          <w:szCs w:val="22"/>
        </w:rPr>
        <w:t>Kenmore refrigerator 2-8 degrees Celsius or 36-46 degrees Fahrenheit</w:t>
      </w:r>
    </w:p>
    <w:p w14:paraId="7FAFE39D" w14:textId="72348972" w:rsidR="00322B7C" w:rsidRDefault="00322B7C" w:rsidP="00D84002">
      <w:pPr>
        <w:pStyle w:val="Default"/>
        <w:numPr>
          <w:ilvl w:val="0"/>
          <w:numId w:val="3"/>
        </w:numPr>
        <w:rPr>
          <w:sz w:val="22"/>
          <w:szCs w:val="22"/>
        </w:rPr>
      </w:pPr>
      <w:r>
        <w:rPr>
          <w:sz w:val="22"/>
          <w:szCs w:val="22"/>
        </w:rPr>
        <w:t>Frigidaire refrigerator 2-8 degrees Celsius or 36-46 degrees Fahrenheit</w:t>
      </w:r>
    </w:p>
    <w:p w14:paraId="24B5FE49" w14:textId="702D88F8" w:rsidR="00322B7C" w:rsidRDefault="00322B7C" w:rsidP="00D84002">
      <w:pPr>
        <w:pStyle w:val="Default"/>
        <w:numPr>
          <w:ilvl w:val="0"/>
          <w:numId w:val="3"/>
        </w:numPr>
        <w:rPr>
          <w:sz w:val="22"/>
          <w:szCs w:val="22"/>
        </w:rPr>
      </w:pPr>
      <w:r>
        <w:rPr>
          <w:sz w:val="22"/>
          <w:szCs w:val="22"/>
        </w:rPr>
        <w:t>Thermo Scientific minus 20 degrees Celsius freezer or minus 4 degrees Fahrenheit</w:t>
      </w:r>
    </w:p>
    <w:p w14:paraId="58175C99" w14:textId="6D083354" w:rsidR="0092214C" w:rsidRDefault="00322B7C" w:rsidP="0092214C">
      <w:pPr>
        <w:pStyle w:val="Default"/>
        <w:numPr>
          <w:ilvl w:val="0"/>
          <w:numId w:val="3"/>
        </w:numPr>
        <w:rPr>
          <w:sz w:val="22"/>
          <w:szCs w:val="22"/>
        </w:rPr>
      </w:pPr>
      <w:r>
        <w:rPr>
          <w:sz w:val="22"/>
          <w:szCs w:val="22"/>
        </w:rPr>
        <w:t xml:space="preserve">Secured cabinets for ambient </w:t>
      </w:r>
      <w:r w:rsidR="00D42291">
        <w:rPr>
          <w:sz w:val="22"/>
          <w:szCs w:val="22"/>
        </w:rPr>
        <w:t>IP 15-25 degrees Celsius or 59-77 degrees Fahrenheit</w:t>
      </w:r>
    </w:p>
    <w:p w14:paraId="57B7FC10" w14:textId="77777777" w:rsidR="0092214C" w:rsidRDefault="0092214C" w:rsidP="0092214C">
      <w:pPr>
        <w:pStyle w:val="Default"/>
        <w:ind w:left="1080"/>
        <w:rPr>
          <w:sz w:val="22"/>
          <w:szCs w:val="22"/>
        </w:rPr>
      </w:pPr>
    </w:p>
    <w:p w14:paraId="399D7BB2" w14:textId="76A44B30" w:rsidR="0080562B" w:rsidRDefault="0080562B" w:rsidP="00C3613B">
      <w:pPr>
        <w:pStyle w:val="Default"/>
        <w:numPr>
          <w:ilvl w:val="0"/>
          <w:numId w:val="2"/>
        </w:numPr>
        <w:rPr>
          <w:sz w:val="22"/>
          <w:szCs w:val="22"/>
        </w:rPr>
      </w:pPr>
      <w:r w:rsidRPr="0092214C">
        <w:rPr>
          <w:sz w:val="22"/>
          <w:szCs w:val="22"/>
        </w:rPr>
        <w:t>When the c</w:t>
      </w:r>
      <w:r w:rsidR="0034706F">
        <w:rPr>
          <w:sz w:val="22"/>
          <w:szCs w:val="22"/>
        </w:rPr>
        <w:t xml:space="preserve">linic is closed on weekends, </w:t>
      </w:r>
      <w:r w:rsidRPr="0092214C">
        <w:rPr>
          <w:sz w:val="22"/>
          <w:szCs w:val="22"/>
        </w:rPr>
        <w:t>holidays</w:t>
      </w:r>
      <w:r w:rsidR="0034706F">
        <w:rPr>
          <w:sz w:val="22"/>
          <w:szCs w:val="22"/>
        </w:rPr>
        <w:t xml:space="preserve"> or during mandatory evacuations</w:t>
      </w:r>
      <w:r w:rsidRPr="0092214C">
        <w:rPr>
          <w:sz w:val="22"/>
          <w:szCs w:val="22"/>
        </w:rPr>
        <w:t xml:space="preserve">, the staff will read the minimum and maximum temperatures on the next business day </w:t>
      </w:r>
      <w:r w:rsidR="001C33D2">
        <w:rPr>
          <w:sz w:val="22"/>
          <w:szCs w:val="22"/>
        </w:rPr>
        <w:t xml:space="preserve">morning </w:t>
      </w:r>
      <w:r w:rsidRPr="0092214C">
        <w:rPr>
          <w:sz w:val="22"/>
          <w:szCs w:val="22"/>
        </w:rPr>
        <w:t>and reco</w:t>
      </w:r>
      <w:r w:rsidR="00C3613B">
        <w:rPr>
          <w:sz w:val="22"/>
          <w:szCs w:val="22"/>
        </w:rPr>
        <w:t>rd the results on the Temperature L</w:t>
      </w:r>
      <w:r w:rsidRPr="0092214C">
        <w:rPr>
          <w:sz w:val="22"/>
          <w:szCs w:val="22"/>
        </w:rPr>
        <w:t>og.</w:t>
      </w:r>
    </w:p>
    <w:p w14:paraId="244E3563" w14:textId="77777777" w:rsidR="00A77BE9" w:rsidRDefault="00A77BE9" w:rsidP="00A77BE9">
      <w:pPr>
        <w:pStyle w:val="Default"/>
        <w:ind w:left="720"/>
        <w:rPr>
          <w:sz w:val="22"/>
          <w:szCs w:val="22"/>
        </w:rPr>
      </w:pPr>
    </w:p>
    <w:p w14:paraId="6762EAF5" w14:textId="77777777" w:rsidR="00A77BE9" w:rsidRDefault="00A77BE9" w:rsidP="00A77BE9">
      <w:pPr>
        <w:pStyle w:val="Default"/>
        <w:ind w:left="720"/>
        <w:rPr>
          <w:sz w:val="22"/>
          <w:szCs w:val="22"/>
        </w:rPr>
      </w:pPr>
    </w:p>
    <w:p w14:paraId="2D233B5F" w14:textId="77777777" w:rsidR="00760801" w:rsidRDefault="00760801" w:rsidP="00760801">
      <w:pPr>
        <w:rPr>
          <w:rFonts w:ascii="Arial" w:hAnsi="Arial" w:cs="Arial"/>
          <w:b/>
        </w:rPr>
      </w:pPr>
    </w:p>
    <w:p w14:paraId="14BAA56F" w14:textId="47850346" w:rsidR="00760801" w:rsidRPr="00760801" w:rsidRDefault="00760801" w:rsidP="00760801">
      <w:pPr>
        <w:rPr>
          <w:rFonts w:ascii="Arial" w:hAnsi="Arial" w:cs="Arial"/>
          <w:b/>
        </w:rPr>
      </w:pPr>
      <w:r>
        <w:rPr>
          <w:rFonts w:ascii="Arial" w:hAnsi="Arial" w:cs="Arial"/>
          <w:b/>
        </w:rPr>
        <w:lastRenderedPageBreak/>
        <w:t>PROCEDURE (cont.):</w:t>
      </w:r>
    </w:p>
    <w:p w14:paraId="167B9B83" w14:textId="3209B1C8" w:rsidR="00C3613B" w:rsidRDefault="00A77BE9" w:rsidP="00C3613B">
      <w:pPr>
        <w:pStyle w:val="Default"/>
        <w:numPr>
          <w:ilvl w:val="0"/>
          <w:numId w:val="2"/>
        </w:numPr>
        <w:rPr>
          <w:sz w:val="22"/>
          <w:szCs w:val="22"/>
        </w:rPr>
      </w:pPr>
      <w:r>
        <w:rPr>
          <w:sz w:val="22"/>
          <w:szCs w:val="22"/>
        </w:rPr>
        <w:t xml:space="preserve">Traceable </w:t>
      </w:r>
      <w:r w:rsidR="00C3613B">
        <w:rPr>
          <w:sz w:val="22"/>
          <w:szCs w:val="22"/>
        </w:rPr>
        <w:t>Refrigerator/ Freezer Thermometer</w:t>
      </w:r>
      <w:r w:rsidR="00F85833">
        <w:rPr>
          <w:sz w:val="22"/>
          <w:szCs w:val="22"/>
        </w:rPr>
        <w:t>s</w:t>
      </w:r>
      <w:r w:rsidR="001C33D2">
        <w:rPr>
          <w:sz w:val="22"/>
          <w:szCs w:val="22"/>
        </w:rPr>
        <w:t xml:space="preserve"> will be affixed</w:t>
      </w:r>
      <w:r>
        <w:rPr>
          <w:sz w:val="22"/>
          <w:szCs w:val="22"/>
        </w:rPr>
        <w:t xml:space="preserve"> to the </w:t>
      </w:r>
      <w:r w:rsidR="00950E67">
        <w:rPr>
          <w:sz w:val="22"/>
          <w:szCs w:val="22"/>
        </w:rPr>
        <w:t>outside of all of the refrigerators/freezers</w:t>
      </w:r>
      <w:r>
        <w:rPr>
          <w:sz w:val="22"/>
          <w:szCs w:val="22"/>
        </w:rPr>
        <w:t xml:space="preserve"> noted above.</w:t>
      </w:r>
    </w:p>
    <w:p w14:paraId="60007449" w14:textId="4B5D9A2B" w:rsidR="00A77BE9" w:rsidRDefault="00A77BE9" w:rsidP="00A77BE9">
      <w:pPr>
        <w:pStyle w:val="Default"/>
        <w:numPr>
          <w:ilvl w:val="1"/>
          <w:numId w:val="2"/>
        </w:numPr>
        <w:rPr>
          <w:sz w:val="22"/>
          <w:szCs w:val="22"/>
        </w:rPr>
      </w:pPr>
      <w:r w:rsidRPr="0098323D">
        <w:rPr>
          <w:sz w:val="22"/>
          <w:szCs w:val="22"/>
        </w:rPr>
        <w:t>T</w:t>
      </w:r>
      <w:r>
        <w:rPr>
          <w:sz w:val="22"/>
          <w:szCs w:val="22"/>
        </w:rPr>
        <w:t xml:space="preserve">he traceable thermometers </w:t>
      </w:r>
      <w:r w:rsidRPr="0098323D">
        <w:rPr>
          <w:sz w:val="22"/>
          <w:szCs w:val="22"/>
        </w:rPr>
        <w:t>will be calibrated and re-certified at least once annually using instruments traceable to NIST</w:t>
      </w:r>
      <w:r w:rsidR="00D42291">
        <w:rPr>
          <w:sz w:val="22"/>
          <w:szCs w:val="22"/>
        </w:rPr>
        <w:t xml:space="preserve">.  </w:t>
      </w:r>
    </w:p>
    <w:p w14:paraId="6396D04D" w14:textId="70ABFF30" w:rsidR="00A77BE9" w:rsidRDefault="00A77BE9" w:rsidP="00A77BE9">
      <w:pPr>
        <w:pStyle w:val="Default"/>
        <w:numPr>
          <w:ilvl w:val="1"/>
          <w:numId w:val="2"/>
        </w:numPr>
        <w:rPr>
          <w:sz w:val="22"/>
          <w:szCs w:val="22"/>
        </w:rPr>
      </w:pPr>
      <w:r>
        <w:rPr>
          <w:sz w:val="22"/>
          <w:szCs w:val="22"/>
        </w:rPr>
        <w:t>T</w:t>
      </w:r>
      <w:r w:rsidRPr="00A77BE9">
        <w:rPr>
          <w:sz w:val="22"/>
          <w:szCs w:val="22"/>
        </w:rPr>
        <w:t xml:space="preserve">he thermometer sensor </w:t>
      </w:r>
      <w:r>
        <w:rPr>
          <w:sz w:val="22"/>
          <w:szCs w:val="22"/>
        </w:rPr>
        <w:t xml:space="preserve">that contains a vial of ethylene glycol </w:t>
      </w:r>
      <w:r w:rsidR="00950E67">
        <w:rPr>
          <w:sz w:val="22"/>
          <w:szCs w:val="22"/>
        </w:rPr>
        <w:t>will be placed in a location</w:t>
      </w:r>
      <w:r w:rsidRPr="00A77BE9">
        <w:rPr>
          <w:sz w:val="22"/>
          <w:szCs w:val="22"/>
        </w:rPr>
        <w:t xml:space="preserve"> that is representative of the aver</w:t>
      </w:r>
      <w:r w:rsidR="00950E67">
        <w:rPr>
          <w:sz w:val="22"/>
          <w:szCs w:val="22"/>
        </w:rPr>
        <w:t>age temperature of the unit</w:t>
      </w:r>
      <w:r>
        <w:rPr>
          <w:sz w:val="22"/>
          <w:szCs w:val="22"/>
        </w:rPr>
        <w:t>,</w:t>
      </w:r>
      <w:r w:rsidR="00950E67">
        <w:rPr>
          <w:sz w:val="22"/>
          <w:szCs w:val="22"/>
        </w:rPr>
        <w:t xml:space="preserve"> and</w:t>
      </w:r>
      <w:r>
        <w:rPr>
          <w:sz w:val="22"/>
          <w:szCs w:val="22"/>
        </w:rPr>
        <w:t xml:space="preserve"> away from a source of incoming refrigerated air or near the freezer to avoid misrepresentative temperature readings</w:t>
      </w:r>
      <w:r w:rsidRPr="00A77BE9">
        <w:rPr>
          <w:sz w:val="22"/>
          <w:szCs w:val="22"/>
        </w:rPr>
        <w:t xml:space="preserve">. </w:t>
      </w:r>
    </w:p>
    <w:p w14:paraId="6AD76050" w14:textId="67BC1613" w:rsidR="00A77BE9" w:rsidRPr="00950E67" w:rsidRDefault="00950E67" w:rsidP="00950E67">
      <w:pPr>
        <w:pStyle w:val="Default"/>
        <w:numPr>
          <w:ilvl w:val="1"/>
          <w:numId w:val="2"/>
        </w:numPr>
        <w:rPr>
          <w:sz w:val="22"/>
          <w:szCs w:val="22"/>
        </w:rPr>
      </w:pPr>
      <w:r>
        <w:rPr>
          <w:sz w:val="22"/>
          <w:szCs w:val="22"/>
        </w:rPr>
        <w:t>E</w:t>
      </w:r>
      <w:r w:rsidRPr="00950E67">
        <w:rPr>
          <w:sz w:val="22"/>
          <w:szCs w:val="22"/>
        </w:rPr>
        <w:t>thylene glycol in the vial that contains the temperature sensor is mildly toxic. If the vial is broken and eth</w:t>
      </w:r>
      <w:r>
        <w:rPr>
          <w:sz w:val="22"/>
          <w:szCs w:val="22"/>
        </w:rPr>
        <w:t>ylene glycol leaks, research personnel will clean the spill</w:t>
      </w:r>
      <w:r w:rsidRPr="00950E67">
        <w:rPr>
          <w:sz w:val="22"/>
          <w:szCs w:val="22"/>
        </w:rPr>
        <w:t xml:space="preserve"> using disposable paper towels and water. Proper personal protection, such</w:t>
      </w:r>
      <w:r>
        <w:rPr>
          <w:sz w:val="22"/>
          <w:szCs w:val="22"/>
        </w:rPr>
        <w:t xml:space="preserve"> as disposable gloves, should be </w:t>
      </w:r>
      <w:r w:rsidRPr="00950E67">
        <w:rPr>
          <w:sz w:val="22"/>
          <w:szCs w:val="22"/>
        </w:rPr>
        <w:t>employed</w:t>
      </w:r>
      <w:r>
        <w:rPr>
          <w:sz w:val="22"/>
          <w:szCs w:val="22"/>
        </w:rPr>
        <w:t>.</w:t>
      </w:r>
    </w:p>
    <w:p w14:paraId="58DCAA98" w14:textId="47C66FCF" w:rsidR="00A77BE9" w:rsidRDefault="00A77BE9" w:rsidP="00A77BE9">
      <w:pPr>
        <w:pStyle w:val="Default"/>
        <w:ind w:left="1440"/>
        <w:rPr>
          <w:sz w:val="22"/>
          <w:szCs w:val="22"/>
        </w:rPr>
      </w:pPr>
    </w:p>
    <w:p w14:paraId="1BF86DD6" w14:textId="371E2A81" w:rsidR="00A77BE9" w:rsidRPr="00E316B3" w:rsidRDefault="00A77BE9" w:rsidP="00C3613B">
      <w:pPr>
        <w:pStyle w:val="Default"/>
        <w:numPr>
          <w:ilvl w:val="0"/>
          <w:numId w:val="2"/>
        </w:numPr>
        <w:rPr>
          <w:sz w:val="22"/>
          <w:szCs w:val="22"/>
        </w:rPr>
      </w:pPr>
      <w:r>
        <w:rPr>
          <w:sz w:val="22"/>
          <w:szCs w:val="22"/>
        </w:rPr>
        <w:t xml:space="preserve">Ambient drug storage will be monitored by a </w:t>
      </w:r>
      <w:r w:rsidR="00DA7DC2">
        <w:rPr>
          <w:sz w:val="22"/>
          <w:szCs w:val="22"/>
        </w:rPr>
        <w:t xml:space="preserve">calibrated </w:t>
      </w:r>
      <w:r>
        <w:rPr>
          <w:sz w:val="22"/>
          <w:szCs w:val="22"/>
        </w:rPr>
        <w:t>ther</w:t>
      </w:r>
      <w:r w:rsidR="00DA7DC2">
        <w:rPr>
          <w:sz w:val="22"/>
          <w:szCs w:val="22"/>
        </w:rPr>
        <w:t>mometer provided by the sponsor. If not provided, it may be meas</w:t>
      </w:r>
      <w:r w:rsidR="00F85833">
        <w:rPr>
          <w:sz w:val="22"/>
          <w:szCs w:val="22"/>
        </w:rPr>
        <w:t xml:space="preserve">ured by the same </w:t>
      </w:r>
      <w:r w:rsidR="001E0817">
        <w:rPr>
          <w:sz w:val="22"/>
          <w:szCs w:val="22"/>
        </w:rPr>
        <w:t>Thermometer referenced above</w:t>
      </w:r>
      <w:r w:rsidR="00E316B3">
        <w:rPr>
          <w:sz w:val="22"/>
          <w:szCs w:val="22"/>
        </w:rPr>
        <w:t xml:space="preserve"> or</w:t>
      </w:r>
      <w:r>
        <w:rPr>
          <w:sz w:val="22"/>
          <w:szCs w:val="22"/>
        </w:rPr>
        <w:t xml:space="preserve"> </w:t>
      </w:r>
      <w:r w:rsidR="001E0817">
        <w:rPr>
          <w:sz w:val="22"/>
          <w:szCs w:val="22"/>
        </w:rPr>
        <w:t xml:space="preserve">may be </w:t>
      </w:r>
      <w:r w:rsidRPr="00E316B3">
        <w:rPr>
          <w:sz w:val="22"/>
          <w:szCs w:val="22"/>
        </w:rPr>
        <w:t>measured b</w:t>
      </w:r>
      <w:r w:rsidR="002D3907" w:rsidRPr="00E316B3">
        <w:rPr>
          <w:sz w:val="22"/>
          <w:szCs w:val="22"/>
        </w:rPr>
        <w:t>y wall thermostat located in the same room where the study</w:t>
      </w:r>
      <w:r w:rsidRPr="00E316B3">
        <w:rPr>
          <w:sz w:val="22"/>
          <w:szCs w:val="22"/>
        </w:rPr>
        <w:t xml:space="preserve"> drug</w:t>
      </w:r>
      <w:r w:rsidR="002D3907" w:rsidRPr="00E316B3">
        <w:rPr>
          <w:sz w:val="22"/>
          <w:szCs w:val="22"/>
        </w:rPr>
        <w:t xml:space="preserve"> is stored</w:t>
      </w:r>
      <w:r w:rsidRPr="00E316B3">
        <w:rPr>
          <w:sz w:val="22"/>
          <w:szCs w:val="22"/>
        </w:rPr>
        <w:t>.</w:t>
      </w:r>
    </w:p>
    <w:p w14:paraId="119A3A03" w14:textId="77777777" w:rsidR="0080562B" w:rsidRPr="00A77BE9" w:rsidRDefault="0080562B" w:rsidP="0080562B">
      <w:pPr>
        <w:pStyle w:val="Default"/>
        <w:rPr>
          <w:color w:val="auto"/>
          <w:sz w:val="22"/>
          <w:szCs w:val="22"/>
        </w:rPr>
      </w:pPr>
    </w:p>
    <w:p w14:paraId="1643B257" w14:textId="3EF125CC" w:rsidR="00CA5CFD" w:rsidRPr="00A77BE9" w:rsidRDefault="00CA5CFD" w:rsidP="00760801">
      <w:pPr>
        <w:pStyle w:val="Default"/>
        <w:numPr>
          <w:ilvl w:val="0"/>
          <w:numId w:val="2"/>
        </w:numPr>
        <w:rPr>
          <w:color w:val="auto"/>
          <w:sz w:val="22"/>
          <w:szCs w:val="22"/>
        </w:rPr>
      </w:pPr>
      <w:r w:rsidRPr="00A77BE9">
        <w:rPr>
          <w:color w:val="auto"/>
          <w:sz w:val="22"/>
          <w:szCs w:val="22"/>
        </w:rPr>
        <w:t>Temperatures will be documented daily on a separate temperature log for each storage location.</w:t>
      </w:r>
    </w:p>
    <w:p w14:paraId="702FB611" w14:textId="0231CB4C" w:rsidR="0080562B" w:rsidRPr="00B467B3" w:rsidRDefault="00CA5CFD" w:rsidP="00B467B3">
      <w:pPr>
        <w:pStyle w:val="ListParagraph"/>
        <w:numPr>
          <w:ilvl w:val="1"/>
          <w:numId w:val="2"/>
        </w:numPr>
        <w:rPr>
          <w:rFonts w:ascii="Arial" w:hAnsi="Arial" w:cs="Arial"/>
        </w:rPr>
      </w:pPr>
      <w:r w:rsidRPr="00B467B3">
        <w:rPr>
          <w:rFonts w:ascii="Arial" w:hAnsi="Arial" w:cs="Arial"/>
        </w:rPr>
        <w:t>Each refrigerator/freezer is assigne</w:t>
      </w:r>
      <w:r w:rsidR="0080562B" w:rsidRPr="00B467B3">
        <w:rPr>
          <w:rFonts w:ascii="Arial" w:hAnsi="Arial" w:cs="Arial"/>
        </w:rPr>
        <w:t>d a unique letter and with</w:t>
      </w:r>
      <w:r w:rsidRPr="00B467B3">
        <w:rPr>
          <w:rFonts w:ascii="Arial" w:hAnsi="Arial" w:cs="Arial"/>
        </w:rPr>
        <w:t xml:space="preserve"> the same the</w:t>
      </w:r>
      <w:r w:rsidR="0080562B" w:rsidRPr="00B467B3">
        <w:rPr>
          <w:rFonts w:ascii="Arial" w:hAnsi="Arial" w:cs="Arial"/>
        </w:rPr>
        <w:t>rmometer mounted on the outside of each</w:t>
      </w:r>
      <w:r w:rsidRPr="00B467B3">
        <w:rPr>
          <w:rFonts w:ascii="Arial" w:hAnsi="Arial" w:cs="Arial"/>
        </w:rPr>
        <w:t xml:space="preserve"> designated refrig</w:t>
      </w:r>
      <w:r w:rsidR="00D91E2B" w:rsidRPr="00B467B3">
        <w:rPr>
          <w:rFonts w:ascii="Arial" w:hAnsi="Arial" w:cs="Arial"/>
        </w:rPr>
        <w:t>erator or freezer</w:t>
      </w:r>
      <w:r w:rsidR="0080562B" w:rsidRPr="00B467B3">
        <w:rPr>
          <w:rFonts w:ascii="Arial" w:hAnsi="Arial" w:cs="Arial"/>
        </w:rPr>
        <w:t>.</w:t>
      </w:r>
    </w:p>
    <w:p w14:paraId="3967E88B" w14:textId="77777777" w:rsidR="0080562B" w:rsidRPr="00A77BE9" w:rsidRDefault="0080562B" w:rsidP="00B467B3">
      <w:pPr>
        <w:pStyle w:val="ListParagraph"/>
        <w:numPr>
          <w:ilvl w:val="1"/>
          <w:numId w:val="2"/>
        </w:numPr>
        <w:rPr>
          <w:rFonts w:ascii="Arial" w:hAnsi="Arial" w:cs="Arial"/>
        </w:rPr>
      </w:pPr>
      <w:r w:rsidRPr="00A77BE9">
        <w:rPr>
          <w:rFonts w:ascii="Arial" w:hAnsi="Arial" w:cs="Arial"/>
        </w:rPr>
        <w:t>Minimum and maximum temperatures for medication refrigerators shall be read and manually recorded on a temperature log once daily and the memory reset each time.</w:t>
      </w:r>
    </w:p>
    <w:p w14:paraId="73E0B2CC" w14:textId="2EDC5AF3" w:rsidR="0092214C" w:rsidRPr="00A77BE9" w:rsidRDefault="0092214C" w:rsidP="00B467B3">
      <w:pPr>
        <w:pStyle w:val="ListParagraph"/>
        <w:numPr>
          <w:ilvl w:val="1"/>
          <w:numId w:val="2"/>
        </w:numPr>
        <w:rPr>
          <w:rFonts w:ascii="Arial" w:hAnsi="Arial" w:cs="Arial"/>
        </w:rPr>
      </w:pPr>
      <w:r w:rsidRPr="00A77BE9">
        <w:rPr>
          <w:rFonts w:ascii="Arial" w:hAnsi="Arial" w:cs="Arial"/>
        </w:rPr>
        <w:t>A temperature log will be kept outside of the each refrigerator/ freezer door and will contain the following documentation clearly written in ink:</w:t>
      </w:r>
    </w:p>
    <w:p w14:paraId="6CF1921E" w14:textId="77777777" w:rsidR="0092214C" w:rsidRPr="00A77BE9" w:rsidRDefault="0092214C" w:rsidP="0092214C">
      <w:pPr>
        <w:pStyle w:val="ListParagraph"/>
        <w:numPr>
          <w:ilvl w:val="0"/>
          <w:numId w:val="7"/>
        </w:numPr>
        <w:rPr>
          <w:rFonts w:ascii="Arial" w:hAnsi="Arial" w:cs="Arial"/>
        </w:rPr>
      </w:pPr>
      <w:r w:rsidRPr="00A77BE9">
        <w:rPr>
          <w:rFonts w:ascii="Arial" w:hAnsi="Arial" w:cs="Arial"/>
        </w:rPr>
        <w:t>Location identification</w:t>
      </w:r>
    </w:p>
    <w:p w14:paraId="75990E64" w14:textId="0A7F6E48" w:rsidR="0092214C" w:rsidRPr="00950E67" w:rsidRDefault="0092214C" w:rsidP="0092214C">
      <w:pPr>
        <w:pStyle w:val="ListParagraph"/>
        <w:numPr>
          <w:ilvl w:val="0"/>
          <w:numId w:val="7"/>
        </w:numPr>
        <w:rPr>
          <w:rFonts w:ascii="Arial" w:hAnsi="Arial" w:cs="Arial"/>
        </w:rPr>
      </w:pPr>
      <w:r w:rsidRPr="00950E67">
        <w:rPr>
          <w:rFonts w:ascii="Arial" w:hAnsi="Arial" w:cs="Arial"/>
        </w:rPr>
        <w:t>Date</w:t>
      </w:r>
    </w:p>
    <w:p w14:paraId="497CEE55" w14:textId="6E772C76" w:rsidR="0092214C" w:rsidRPr="00A77BE9" w:rsidRDefault="0092214C" w:rsidP="0092214C">
      <w:pPr>
        <w:pStyle w:val="ListParagraph"/>
        <w:numPr>
          <w:ilvl w:val="0"/>
          <w:numId w:val="7"/>
        </w:numPr>
        <w:rPr>
          <w:rFonts w:ascii="Arial" w:hAnsi="Arial" w:cs="Arial"/>
        </w:rPr>
      </w:pPr>
      <w:r w:rsidRPr="00A77BE9">
        <w:rPr>
          <w:rFonts w:ascii="Arial" w:hAnsi="Arial" w:cs="Arial"/>
        </w:rPr>
        <w:t>T</w:t>
      </w:r>
      <w:r w:rsidR="00CA5CFD" w:rsidRPr="00A77BE9">
        <w:rPr>
          <w:rFonts w:ascii="Arial" w:hAnsi="Arial" w:cs="Arial"/>
        </w:rPr>
        <w:t>ime</w:t>
      </w:r>
    </w:p>
    <w:p w14:paraId="56AB77F2" w14:textId="3B14FA8A" w:rsidR="0092214C" w:rsidRPr="00950E67" w:rsidRDefault="0092214C" w:rsidP="0092214C">
      <w:pPr>
        <w:pStyle w:val="ListParagraph"/>
        <w:numPr>
          <w:ilvl w:val="0"/>
          <w:numId w:val="7"/>
        </w:numPr>
        <w:rPr>
          <w:rFonts w:ascii="Arial" w:hAnsi="Arial" w:cs="Arial"/>
        </w:rPr>
      </w:pPr>
      <w:r w:rsidRPr="00950E67">
        <w:rPr>
          <w:rFonts w:ascii="Arial" w:hAnsi="Arial" w:cs="Arial"/>
        </w:rPr>
        <w:t>R</w:t>
      </w:r>
      <w:r w:rsidR="00D91E2B" w:rsidRPr="00950E67">
        <w:rPr>
          <w:rFonts w:ascii="Arial" w:hAnsi="Arial" w:cs="Arial"/>
        </w:rPr>
        <w:t>esults</w:t>
      </w:r>
    </w:p>
    <w:p w14:paraId="6A783974" w14:textId="77777777" w:rsidR="00C3613B" w:rsidRPr="00A77BE9" w:rsidRDefault="0092214C" w:rsidP="00C3613B">
      <w:pPr>
        <w:pStyle w:val="ListParagraph"/>
        <w:numPr>
          <w:ilvl w:val="0"/>
          <w:numId w:val="7"/>
        </w:numPr>
        <w:rPr>
          <w:rFonts w:ascii="Arial" w:hAnsi="Arial" w:cs="Arial"/>
        </w:rPr>
      </w:pPr>
      <w:r w:rsidRPr="00A77BE9">
        <w:rPr>
          <w:rFonts w:ascii="Arial" w:hAnsi="Arial" w:cs="Arial"/>
        </w:rPr>
        <w:t>I</w:t>
      </w:r>
      <w:r w:rsidR="00D91E2B" w:rsidRPr="00A77BE9">
        <w:rPr>
          <w:rFonts w:ascii="Arial" w:hAnsi="Arial" w:cs="Arial"/>
        </w:rPr>
        <w:t>nitials of person</w:t>
      </w:r>
      <w:r w:rsidR="00CA5CFD" w:rsidRPr="00A77BE9">
        <w:rPr>
          <w:rFonts w:ascii="Arial" w:hAnsi="Arial" w:cs="Arial"/>
        </w:rPr>
        <w:t xml:space="preserve"> </w:t>
      </w:r>
      <w:r w:rsidRPr="00A77BE9">
        <w:rPr>
          <w:rFonts w:ascii="Arial" w:hAnsi="Arial" w:cs="Arial"/>
        </w:rPr>
        <w:t>responsible</w:t>
      </w:r>
    </w:p>
    <w:p w14:paraId="55B66A7D" w14:textId="2140F8ED" w:rsidR="0092214C" w:rsidRPr="00A77BE9" w:rsidRDefault="0092214C" w:rsidP="00C3613B">
      <w:pPr>
        <w:pStyle w:val="ListParagraph"/>
        <w:numPr>
          <w:ilvl w:val="0"/>
          <w:numId w:val="7"/>
        </w:numPr>
        <w:rPr>
          <w:rFonts w:ascii="Arial" w:hAnsi="Arial" w:cs="Arial"/>
        </w:rPr>
      </w:pPr>
      <w:r w:rsidRPr="00A77BE9">
        <w:rPr>
          <w:rFonts w:ascii="Arial" w:hAnsi="Arial" w:cs="Arial"/>
        </w:rPr>
        <w:t>Comments if necessary</w:t>
      </w:r>
    </w:p>
    <w:p w14:paraId="549A5125" w14:textId="77777777" w:rsidR="00C3613B" w:rsidRPr="00C3613B" w:rsidRDefault="00C3613B" w:rsidP="00C3613B">
      <w:pPr>
        <w:pStyle w:val="ListParagraph"/>
        <w:ind w:left="2220"/>
        <w:rPr>
          <w:rFonts w:ascii="Arial" w:hAnsi="Arial" w:cs="Arial"/>
        </w:rPr>
      </w:pPr>
    </w:p>
    <w:p w14:paraId="7C8504AD" w14:textId="6FC56503" w:rsidR="0098323D" w:rsidRPr="00E316B3" w:rsidRDefault="0080562B" w:rsidP="00760801">
      <w:pPr>
        <w:pStyle w:val="ListParagraph"/>
        <w:numPr>
          <w:ilvl w:val="0"/>
          <w:numId w:val="2"/>
        </w:numPr>
        <w:rPr>
          <w:rFonts w:ascii="Arial" w:hAnsi="Arial" w:cs="Arial"/>
        </w:rPr>
      </w:pPr>
      <w:r w:rsidRPr="00E316B3">
        <w:rPr>
          <w:rFonts w:ascii="Arial" w:hAnsi="Arial" w:cs="Arial"/>
        </w:rPr>
        <w:t>H</w:t>
      </w:r>
      <w:r w:rsidR="00CA5CFD" w:rsidRPr="00E316B3">
        <w:rPr>
          <w:rFonts w:ascii="Arial" w:hAnsi="Arial" w:cs="Arial"/>
        </w:rPr>
        <w:t>istorical temperature logs for a</w:t>
      </w:r>
      <w:r w:rsidR="00D91E2B" w:rsidRPr="00E316B3">
        <w:rPr>
          <w:rFonts w:ascii="Arial" w:hAnsi="Arial" w:cs="Arial"/>
        </w:rPr>
        <w:t>ll refrigerators/freezers will be maintained in a central location in the CRC</w:t>
      </w:r>
      <w:r w:rsidR="00E316B3">
        <w:rPr>
          <w:rFonts w:ascii="Arial" w:hAnsi="Arial" w:cs="Arial"/>
        </w:rPr>
        <w:t>.</w:t>
      </w:r>
    </w:p>
    <w:p w14:paraId="0D11B000" w14:textId="7A52EB4A" w:rsidR="0098323D" w:rsidRPr="001E0817" w:rsidRDefault="00CA5CFD" w:rsidP="00760801">
      <w:pPr>
        <w:pStyle w:val="Default"/>
        <w:numPr>
          <w:ilvl w:val="1"/>
          <w:numId w:val="2"/>
        </w:numPr>
        <w:rPr>
          <w:sz w:val="22"/>
          <w:szCs w:val="22"/>
        </w:rPr>
      </w:pPr>
      <w:r w:rsidRPr="0098323D">
        <w:rPr>
          <w:sz w:val="22"/>
          <w:szCs w:val="22"/>
        </w:rPr>
        <w:t>T</w:t>
      </w:r>
      <w:r w:rsidR="00C3613B">
        <w:rPr>
          <w:sz w:val="22"/>
          <w:szCs w:val="22"/>
        </w:rPr>
        <w:t xml:space="preserve">he traceable thermometers </w:t>
      </w:r>
      <w:r w:rsidRPr="0098323D">
        <w:rPr>
          <w:sz w:val="22"/>
          <w:szCs w:val="22"/>
        </w:rPr>
        <w:t>will be calibrated and re-certified at least once annu</w:t>
      </w:r>
      <w:r w:rsidR="001C33D2">
        <w:rPr>
          <w:sz w:val="22"/>
          <w:szCs w:val="22"/>
        </w:rPr>
        <w:t>ally using instruments validated against</w:t>
      </w:r>
      <w:r w:rsidRPr="0098323D">
        <w:rPr>
          <w:sz w:val="22"/>
          <w:szCs w:val="22"/>
        </w:rPr>
        <w:t xml:space="preserve"> NIST</w:t>
      </w:r>
      <w:r w:rsidR="001C33D2">
        <w:rPr>
          <w:sz w:val="22"/>
          <w:szCs w:val="22"/>
        </w:rPr>
        <w:t xml:space="preserve"> certified device</w:t>
      </w:r>
      <w:r w:rsidR="00950E67">
        <w:rPr>
          <w:sz w:val="22"/>
          <w:szCs w:val="22"/>
        </w:rPr>
        <w:t xml:space="preserve">.  Refer to </w:t>
      </w:r>
      <w:r w:rsidR="00950E67" w:rsidRPr="00950E67">
        <w:rPr>
          <w:i/>
          <w:sz w:val="22"/>
          <w:szCs w:val="22"/>
        </w:rPr>
        <w:t>SOP #604: Equipment Maintenance and Calibration.</w:t>
      </w:r>
    </w:p>
    <w:p w14:paraId="399DA628" w14:textId="54DB7815" w:rsidR="0003364D" w:rsidRPr="0098323D" w:rsidRDefault="0003364D" w:rsidP="00950E67">
      <w:pPr>
        <w:pStyle w:val="Default"/>
        <w:rPr>
          <w:sz w:val="22"/>
          <w:szCs w:val="22"/>
        </w:rPr>
      </w:pPr>
    </w:p>
    <w:p w14:paraId="132C288F" w14:textId="77777777" w:rsidR="001A25C6" w:rsidRDefault="001E0817" w:rsidP="00760801">
      <w:pPr>
        <w:pStyle w:val="ListParagraph"/>
        <w:numPr>
          <w:ilvl w:val="0"/>
          <w:numId w:val="2"/>
        </w:numPr>
        <w:autoSpaceDE w:val="0"/>
        <w:autoSpaceDN w:val="0"/>
        <w:adjustRightInd w:val="0"/>
        <w:spacing w:after="0" w:line="240" w:lineRule="auto"/>
        <w:rPr>
          <w:rFonts w:ascii="Arial" w:eastAsiaTheme="minorHAnsi" w:hAnsi="Arial" w:cs="Arial"/>
        </w:rPr>
      </w:pPr>
      <w:r>
        <w:rPr>
          <w:rFonts w:ascii="Arial" w:eastAsiaTheme="minorHAnsi" w:hAnsi="Arial" w:cs="Arial"/>
        </w:rPr>
        <w:t>The CRC Manager or research designee will report</w:t>
      </w:r>
      <w:r w:rsidRPr="001E0817">
        <w:rPr>
          <w:rFonts w:ascii="Arial" w:eastAsiaTheme="minorHAnsi" w:hAnsi="Arial" w:cs="Arial"/>
        </w:rPr>
        <w:t xml:space="preserve"> </w:t>
      </w:r>
      <w:r>
        <w:rPr>
          <w:rFonts w:ascii="Arial" w:eastAsiaTheme="minorHAnsi" w:hAnsi="Arial" w:cs="Arial"/>
        </w:rPr>
        <w:t xml:space="preserve">any </w:t>
      </w:r>
      <w:r w:rsidRPr="001E0817">
        <w:rPr>
          <w:rFonts w:ascii="Arial" w:eastAsiaTheme="minorHAnsi" w:hAnsi="Arial" w:cs="Arial"/>
        </w:rPr>
        <w:t>temperature exc</w:t>
      </w:r>
      <w:r>
        <w:rPr>
          <w:rFonts w:ascii="Arial" w:eastAsiaTheme="minorHAnsi" w:hAnsi="Arial" w:cs="Arial"/>
        </w:rPr>
        <w:t>ursions immediately to the study PI and research coordinator</w:t>
      </w:r>
      <w:r w:rsidR="00760801">
        <w:rPr>
          <w:rFonts w:ascii="Arial" w:eastAsiaTheme="minorHAnsi" w:hAnsi="Arial" w:cs="Arial"/>
        </w:rPr>
        <w:t xml:space="preserve">.  He/she will </w:t>
      </w:r>
      <w:r w:rsidR="00760801" w:rsidRPr="00760801">
        <w:rPr>
          <w:rFonts w:ascii="Arial" w:eastAsiaTheme="minorHAnsi" w:hAnsi="Arial" w:cs="Arial"/>
        </w:rPr>
        <w:t>inform all the</w:t>
      </w:r>
      <w:r w:rsidR="00760801">
        <w:rPr>
          <w:rFonts w:ascii="Arial" w:eastAsiaTheme="minorHAnsi" w:hAnsi="Arial" w:cs="Arial"/>
        </w:rPr>
        <w:t xml:space="preserve"> </w:t>
      </w:r>
      <w:r w:rsidR="00760801" w:rsidRPr="00760801">
        <w:rPr>
          <w:rFonts w:ascii="Arial" w:eastAsiaTheme="minorHAnsi" w:hAnsi="Arial" w:cs="Arial"/>
        </w:rPr>
        <w:t xml:space="preserve">trial sponsors whose supplies </w:t>
      </w:r>
      <w:r w:rsidR="00760801">
        <w:rPr>
          <w:rFonts w:ascii="Arial" w:eastAsiaTheme="minorHAnsi" w:hAnsi="Arial" w:cs="Arial"/>
        </w:rPr>
        <w:t>are stored in that are</w:t>
      </w:r>
      <w:r w:rsidR="00760801" w:rsidRPr="00760801">
        <w:rPr>
          <w:rFonts w:ascii="Arial" w:eastAsiaTheme="minorHAnsi" w:hAnsi="Arial" w:cs="Arial"/>
        </w:rPr>
        <w:t xml:space="preserve"> to request</w:t>
      </w:r>
      <w:r w:rsidR="00760801">
        <w:rPr>
          <w:rFonts w:ascii="Arial" w:eastAsiaTheme="minorHAnsi" w:hAnsi="Arial" w:cs="Arial"/>
        </w:rPr>
        <w:t xml:space="preserve"> </w:t>
      </w:r>
      <w:r w:rsidR="00760801" w:rsidRPr="00760801">
        <w:rPr>
          <w:rFonts w:ascii="Arial" w:eastAsiaTheme="minorHAnsi" w:hAnsi="Arial" w:cs="Arial"/>
        </w:rPr>
        <w:t>confirmation that the product is fit for continued use. This should be in writing</w:t>
      </w:r>
      <w:r w:rsidR="00760801">
        <w:rPr>
          <w:rFonts w:ascii="Arial" w:eastAsiaTheme="minorHAnsi" w:hAnsi="Arial" w:cs="Arial"/>
        </w:rPr>
        <w:t xml:space="preserve"> </w:t>
      </w:r>
      <w:r w:rsidR="00760801" w:rsidRPr="00760801">
        <w:rPr>
          <w:rFonts w:ascii="Arial" w:eastAsiaTheme="minorHAnsi" w:hAnsi="Arial" w:cs="Arial"/>
        </w:rPr>
        <w:t>via email with a copy of the relevant graph.</w:t>
      </w:r>
    </w:p>
    <w:p w14:paraId="4A82FC00" w14:textId="201CA7DB" w:rsidR="00760801" w:rsidRDefault="00760801" w:rsidP="001A25C6">
      <w:pPr>
        <w:pStyle w:val="ListParagraph"/>
        <w:autoSpaceDE w:val="0"/>
        <w:autoSpaceDN w:val="0"/>
        <w:adjustRightInd w:val="0"/>
        <w:spacing w:after="0" w:line="240" w:lineRule="auto"/>
        <w:rPr>
          <w:rFonts w:ascii="Arial" w:eastAsiaTheme="minorHAnsi" w:hAnsi="Arial" w:cs="Arial"/>
        </w:rPr>
      </w:pPr>
      <w:r w:rsidRPr="00760801">
        <w:rPr>
          <w:rFonts w:ascii="Arial" w:eastAsiaTheme="minorHAnsi" w:hAnsi="Arial" w:cs="Arial"/>
        </w:rPr>
        <w:t xml:space="preserve"> </w:t>
      </w:r>
    </w:p>
    <w:p w14:paraId="132C2D91" w14:textId="0D84143D" w:rsidR="001E0817" w:rsidRPr="00760801" w:rsidRDefault="00760801" w:rsidP="00760801">
      <w:pPr>
        <w:pStyle w:val="ListParagraph"/>
        <w:numPr>
          <w:ilvl w:val="0"/>
          <w:numId w:val="2"/>
        </w:numPr>
        <w:autoSpaceDE w:val="0"/>
        <w:autoSpaceDN w:val="0"/>
        <w:adjustRightInd w:val="0"/>
        <w:spacing w:after="0" w:line="240" w:lineRule="auto"/>
        <w:rPr>
          <w:rFonts w:ascii="Arial" w:eastAsiaTheme="minorHAnsi" w:hAnsi="Arial" w:cs="Arial"/>
        </w:rPr>
      </w:pPr>
      <w:r>
        <w:rPr>
          <w:rFonts w:ascii="Arial" w:eastAsiaTheme="minorHAnsi" w:hAnsi="Arial" w:cs="Arial"/>
        </w:rPr>
        <w:t>Study staff will f</w:t>
      </w:r>
      <w:r w:rsidRPr="00760801">
        <w:rPr>
          <w:rFonts w:ascii="Arial" w:eastAsiaTheme="minorHAnsi" w:hAnsi="Arial" w:cs="Arial"/>
        </w:rPr>
        <w:t>ollow any study specific</w:t>
      </w:r>
      <w:r>
        <w:rPr>
          <w:rFonts w:ascii="Arial" w:eastAsiaTheme="minorHAnsi" w:hAnsi="Arial" w:cs="Arial"/>
        </w:rPr>
        <w:t xml:space="preserve"> </w:t>
      </w:r>
      <w:r w:rsidRPr="00760801">
        <w:rPr>
          <w:rFonts w:ascii="Arial" w:eastAsiaTheme="minorHAnsi" w:hAnsi="Arial" w:cs="Arial"/>
        </w:rPr>
        <w:t>procedures for reporting temperature excursions provided by the sponsor</w:t>
      </w:r>
      <w:r>
        <w:rPr>
          <w:rFonts w:ascii="Arial" w:eastAsiaTheme="minorHAnsi" w:hAnsi="Arial" w:cs="Arial"/>
        </w:rPr>
        <w:t xml:space="preserve"> </w:t>
      </w:r>
      <w:r w:rsidRPr="00760801">
        <w:rPr>
          <w:rFonts w:ascii="Arial" w:eastAsiaTheme="minorHAnsi" w:hAnsi="Arial" w:cs="Arial"/>
        </w:rPr>
        <w:t>detailed in the pharmacy clinical trial file.</w:t>
      </w:r>
    </w:p>
    <w:p w14:paraId="2E253BA3" w14:textId="77777777" w:rsidR="001E0817" w:rsidRPr="001E0817" w:rsidRDefault="001E0817" w:rsidP="001E0817">
      <w:pPr>
        <w:autoSpaceDE w:val="0"/>
        <w:autoSpaceDN w:val="0"/>
        <w:adjustRightInd w:val="0"/>
        <w:spacing w:after="0" w:line="240" w:lineRule="auto"/>
        <w:rPr>
          <w:rFonts w:ascii="Arial" w:eastAsiaTheme="minorHAnsi" w:hAnsi="Arial" w:cs="Arial"/>
        </w:rPr>
      </w:pPr>
    </w:p>
    <w:p w14:paraId="392D8742" w14:textId="03A80D93" w:rsidR="00760801" w:rsidRDefault="001E0817" w:rsidP="00760801">
      <w:pPr>
        <w:pStyle w:val="ListParagraph"/>
        <w:numPr>
          <w:ilvl w:val="0"/>
          <w:numId w:val="2"/>
        </w:numPr>
        <w:autoSpaceDE w:val="0"/>
        <w:autoSpaceDN w:val="0"/>
        <w:adjustRightInd w:val="0"/>
        <w:spacing w:after="0" w:line="240" w:lineRule="auto"/>
        <w:rPr>
          <w:rFonts w:ascii="Arial" w:eastAsiaTheme="minorHAnsi" w:hAnsi="Arial" w:cs="Arial"/>
        </w:rPr>
      </w:pPr>
      <w:r w:rsidRPr="001E0817">
        <w:rPr>
          <w:rFonts w:ascii="Arial" w:eastAsiaTheme="minorHAnsi" w:hAnsi="Arial" w:cs="Arial"/>
        </w:rPr>
        <w:t xml:space="preserve">If the temperature fails to return within normal limits, </w:t>
      </w:r>
      <w:r>
        <w:rPr>
          <w:rFonts w:ascii="Arial" w:eastAsiaTheme="minorHAnsi" w:hAnsi="Arial" w:cs="Arial"/>
        </w:rPr>
        <w:t xml:space="preserve">the CRC manager or research personnel may </w:t>
      </w:r>
      <w:r w:rsidRPr="001E0817">
        <w:rPr>
          <w:rFonts w:ascii="Arial" w:eastAsiaTheme="minorHAnsi" w:hAnsi="Arial" w:cs="Arial"/>
        </w:rPr>
        <w:t>move the supplies to an</w:t>
      </w:r>
      <w:r>
        <w:rPr>
          <w:rFonts w:ascii="Arial" w:eastAsiaTheme="minorHAnsi" w:hAnsi="Arial" w:cs="Arial"/>
        </w:rPr>
        <w:t xml:space="preserve"> </w:t>
      </w:r>
      <w:r w:rsidRPr="001E0817">
        <w:rPr>
          <w:rFonts w:ascii="Arial" w:eastAsiaTheme="minorHAnsi" w:hAnsi="Arial" w:cs="Arial"/>
        </w:rPr>
        <w:t>alternative ar</w:t>
      </w:r>
      <w:r>
        <w:rPr>
          <w:rFonts w:ascii="Arial" w:eastAsiaTheme="minorHAnsi" w:hAnsi="Arial" w:cs="Arial"/>
        </w:rPr>
        <w:t>ea</w:t>
      </w:r>
      <w:r w:rsidR="001C33D2">
        <w:rPr>
          <w:rFonts w:ascii="Arial" w:eastAsiaTheme="minorHAnsi" w:hAnsi="Arial" w:cs="Arial"/>
        </w:rPr>
        <w:t xml:space="preserve"> in the CRC, Byrd Institute or Eye Institute and notify the sponsor immediately.</w:t>
      </w:r>
    </w:p>
    <w:p w14:paraId="0B573D94" w14:textId="77777777" w:rsidR="00760801" w:rsidRPr="00760801" w:rsidRDefault="00760801" w:rsidP="00760801">
      <w:pPr>
        <w:pStyle w:val="ListParagraph"/>
        <w:rPr>
          <w:rFonts w:ascii="Arial" w:eastAsiaTheme="minorHAnsi" w:hAnsi="Arial" w:cs="Arial"/>
        </w:rPr>
      </w:pPr>
    </w:p>
    <w:p w14:paraId="277E01FB" w14:textId="30C9C7F5" w:rsidR="00760801" w:rsidRPr="00760801" w:rsidRDefault="00760801" w:rsidP="001A25C6">
      <w:pPr>
        <w:pStyle w:val="ListParagraph"/>
        <w:numPr>
          <w:ilvl w:val="0"/>
          <w:numId w:val="2"/>
        </w:numPr>
        <w:autoSpaceDE w:val="0"/>
        <w:autoSpaceDN w:val="0"/>
        <w:adjustRightInd w:val="0"/>
        <w:spacing w:after="0" w:line="240" w:lineRule="auto"/>
        <w:rPr>
          <w:rFonts w:ascii="Arial" w:eastAsiaTheme="minorHAnsi" w:hAnsi="Arial" w:cs="Arial"/>
        </w:rPr>
      </w:pPr>
      <w:r>
        <w:rPr>
          <w:rFonts w:ascii="Arial" w:eastAsiaTheme="minorHAnsi" w:hAnsi="Arial" w:cs="Arial"/>
        </w:rPr>
        <w:t>Research personnel will d</w:t>
      </w:r>
      <w:r w:rsidRPr="00760801">
        <w:rPr>
          <w:rFonts w:ascii="Arial" w:eastAsiaTheme="minorHAnsi" w:hAnsi="Arial" w:cs="Arial"/>
        </w:rPr>
        <w:t>ocument all actions taken in a file note and place a copy in the files of each</w:t>
      </w:r>
      <w:r>
        <w:rPr>
          <w:rFonts w:ascii="Arial" w:eastAsiaTheme="minorHAnsi" w:hAnsi="Arial" w:cs="Arial"/>
        </w:rPr>
        <w:t xml:space="preserve"> </w:t>
      </w:r>
      <w:r w:rsidRPr="00760801">
        <w:rPr>
          <w:rFonts w:ascii="Arial" w:eastAsiaTheme="minorHAnsi" w:hAnsi="Arial" w:cs="Arial"/>
        </w:rPr>
        <w:t>study affected</w:t>
      </w:r>
      <w:r>
        <w:rPr>
          <w:rFonts w:ascii="Arial" w:eastAsiaTheme="minorHAnsi" w:hAnsi="Arial" w:cs="Arial"/>
        </w:rPr>
        <w:t>.</w:t>
      </w:r>
    </w:p>
    <w:p w14:paraId="70602ED2" w14:textId="26D94CAD" w:rsidR="0003364D" w:rsidRDefault="0003364D" w:rsidP="001A25C6">
      <w:pPr>
        <w:pStyle w:val="Default"/>
      </w:pPr>
    </w:p>
    <w:p w14:paraId="29E38F64" w14:textId="4326DF8D" w:rsidR="002D3907" w:rsidRPr="00F85833" w:rsidRDefault="005348FC" w:rsidP="00A725BA">
      <w:pPr>
        <w:pStyle w:val="ListParagraph"/>
        <w:numPr>
          <w:ilvl w:val="0"/>
          <w:numId w:val="2"/>
        </w:numPr>
        <w:spacing w:line="240" w:lineRule="auto"/>
        <w:rPr>
          <w:rFonts w:ascii="Arial" w:hAnsi="Arial" w:cs="Arial"/>
        </w:rPr>
      </w:pPr>
      <w:r>
        <w:rPr>
          <w:rFonts w:ascii="Arial" w:hAnsi="Arial" w:cs="Arial"/>
        </w:rPr>
        <w:t>In the event of a clinic power failure, a</w:t>
      </w:r>
      <w:r w:rsidRPr="005348FC">
        <w:rPr>
          <w:rFonts w:ascii="Arial" w:hAnsi="Arial" w:cs="Arial"/>
        </w:rPr>
        <w:t xml:space="preserve">ll refrigerators and freezers </w:t>
      </w:r>
      <w:r>
        <w:rPr>
          <w:rFonts w:ascii="Arial" w:hAnsi="Arial" w:cs="Arial"/>
        </w:rPr>
        <w:t xml:space="preserve">will switch to the </w:t>
      </w:r>
      <w:r w:rsidRPr="005348FC">
        <w:rPr>
          <w:rFonts w:ascii="Arial" w:hAnsi="Arial" w:cs="Arial"/>
        </w:rPr>
        <w:t>emergency power genera</w:t>
      </w:r>
      <w:r>
        <w:rPr>
          <w:rFonts w:ascii="Arial" w:hAnsi="Arial" w:cs="Arial"/>
        </w:rPr>
        <w:t>tors.</w:t>
      </w:r>
      <w:bookmarkStart w:id="0" w:name="_GoBack"/>
      <w:bookmarkEnd w:id="0"/>
    </w:p>
    <w:p w14:paraId="5BB32BEA" w14:textId="77777777" w:rsidR="00A725BA" w:rsidRDefault="00A725BA" w:rsidP="00A725BA"/>
    <w:tbl>
      <w:tblPr>
        <w:tblStyle w:val="TableGrid"/>
        <w:tblpPr w:leftFromText="180" w:rightFromText="180" w:vertAnchor="text" w:horzAnchor="margin" w:tblpY="-9"/>
        <w:tblW w:w="0" w:type="auto"/>
        <w:tblLayout w:type="fixed"/>
        <w:tblLook w:val="04A0" w:firstRow="1" w:lastRow="0" w:firstColumn="1" w:lastColumn="0" w:noHBand="0" w:noVBand="1"/>
      </w:tblPr>
      <w:tblGrid>
        <w:gridCol w:w="2628"/>
        <w:gridCol w:w="6570"/>
      </w:tblGrid>
      <w:tr w:rsidR="00A725BA" w:rsidRPr="004058B2" w14:paraId="5BB32BED" w14:textId="77777777" w:rsidTr="007F5C70">
        <w:trPr>
          <w:trHeight w:val="980"/>
        </w:trPr>
        <w:tc>
          <w:tcPr>
            <w:tcW w:w="2628" w:type="dxa"/>
            <w:vAlign w:val="bottom"/>
          </w:tcPr>
          <w:p w14:paraId="5BB32BEB" w14:textId="77777777" w:rsidR="00A725BA" w:rsidRPr="004058B2" w:rsidRDefault="00A725BA" w:rsidP="00823B9C">
            <w:pPr>
              <w:tabs>
                <w:tab w:val="left" w:pos="10160"/>
              </w:tabs>
              <w:autoSpaceDE w:val="0"/>
              <w:autoSpaceDN w:val="0"/>
              <w:adjustRightInd w:val="0"/>
              <w:spacing w:before="4"/>
              <w:rPr>
                <w:rFonts w:ascii="Arial" w:hAnsi="Arial" w:cs="Arial"/>
              </w:rPr>
            </w:pPr>
            <w:r w:rsidRPr="004058B2">
              <w:rPr>
                <w:rFonts w:ascii="Arial" w:hAnsi="Arial" w:cs="Arial"/>
                <w:b/>
                <w:bCs/>
                <w:spacing w:val="2"/>
                <w:w w:val="103"/>
              </w:rPr>
              <w:t>REFERENCES</w:t>
            </w:r>
            <w:r w:rsidRPr="004058B2">
              <w:rPr>
                <w:rFonts w:ascii="Arial" w:hAnsi="Arial" w:cs="Arial"/>
                <w:b/>
                <w:bCs/>
                <w:w w:val="103"/>
              </w:rPr>
              <w:t>:</w:t>
            </w:r>
            <w:r w:rsidRPr="004058B2">
              <w:rPr>
                <w:rFonts w:ascii="Arial" w:hAnsi="Arial" w:cs="Arial"/>
              </w:rPr>
              <w:tab/>
            </w:r>
          </w:p>
        </w:tc>
        <w:tc>
          <w:tcPr>
            <w:tcW w:w="6570" w:type="dxa"/>
          </w:tcPr>
          <w:p w14:paraId="5BB32BEC" w14:textId="09F22EC9" w:rsidR="00A725BA" w:rsidRPr="002718E1" w:rsidRDefault="00C26927" w:rsidP="00823B9C">
            <w:pPr>
              <w:autoSpaceDE w:val="0"/>
              <w:autoSpaceDN w:val="0"/>
              <w:adjustRightInd w:val="0"/>
              <w:ind w:left="2880" w:hanging="2880"/>
              <w:rPr>
                <w:rFonts w:ascii="Arial" w:hAnsi="Arial" w:cs="Arial"/>
                <w:sz w:val="20"/>
                <w:szCs w:val="20"/>
              </w:rPr>
            </w:pPr>
            <w:r>
              <w:rPr>
                <w:rFonts w:ascii="Arial" w:hAnsi="Arial" w:cs="Arial"/>
                <w:sz w:val="20"/>
                <w:szCs w:val="20"/>
              </w:rPr>
              <w:t xml:space="preserve">ICH GCP </w:t>
            </w:r>
            <w:r w:rsidR="00B467B3">
              <w:rPr>
                <w:rFonts w:ascii="Arial" w:hAnsi="Arial" w:cs="Arial"/>
                <w:sz w:val="20"/>
                <w:szCs w:val="20"/>
              </w:rPr>
              <w:t xml:space="preserve">E6. Section </w:t>
            </w:r>
            <w:r>
              <w:rPr>
                <w:rFonts w:ascii="Arial" w:hAnsi="Arial" w:cs="Arial"/>
                <w:sz w:val="20"/>
                <w:szCs w:val="20"/>
              </w:rPr>
              <w:t>4.6 Investigational Product(s)</w:t>
            </w:r>
          </w:p>
        </w:tc>
      </w:tr>
      <w:tr w:rsidR="00A725BA" w:rsidRPr="004058B2" w14:paraId="5BB32BF0" w14:textId="77777777" w:rsidTr="007F5C70">
        <w:trPr>
          <w:trHeight w:val="260"/>
        </w:trPr>
        <w:tc>
          <w:tcPr>
            <w:tcW w:w="2628" w:type="dxa"/>
            <w:vAlign w:val="bottom"/>
          </w:tcPr>
          <w:p w14:paraId="5BB32BEE" w14:textId="77777777" w:rsidR="00A725BA" w:rsidRPr="004058B2" w:rsidRDefault="00A725BA" w:rsidP="00823B9C">
            <w:pPr>
              <w:tabs>
                <w:tab w:val="left" w:pos="10160"/>
              </w:tabs>
              <w:autoSpaceDE w:val="0"/>
              <w:autoSpaceDN w:val="0"/>
              <w:adjustRightInd w:val="0"/>
              <w:spacing w:before="4"/>
              <w:rPr>
                <w:rFonts w:ascii="Arial" w:hAnsi="Arial" w:cs="Arial"/>
              </w:rPr>
            </w:pPr>
            <w:r w:rsidRPr="004058B2">
              <w:rPr>
                <w:rFonts w:ascii="Arial" w:hAnsi="Arial" w:cs="Arial"/>
                <w:b/>
                <w:bCs/>
                <w:spacing w:val="2"/>
              </w:rPr>
              <w:t>RELATE</w:t>
            </w:r>
            <w:r w:rsidRPr="004058B2">
              <w:rPr>
                <w:rFonts w:ascii="Arial" w:hAnsi="Arial" w:cs="Arial"/>
                <w:b/>
                <w:bCs/>
              </w:rPr>
              <w:t>D</w:t>
            </w:r>
            <w:r w:rsidRPr="004058B2">
              <w:rPr>
                <w:rFonts w:ascii="Arial" w:hAnsi="Arial" w:cs="Arial"/>
                <w:b/>
                <w:bCs/>
                <w:spacing w:val="33"/>
              </w:rPr>
              <w:t xml:space="preserve"> </w:t>
            </w:r>
            <w:r w:rsidRPr="004058B2">
              <w:rPr>
                <w:rFonts w:ascii="Arial" w:hAnsi="Arial" w:cs="Arial"/>
                <w:b/>
                <w:bCs/>
                <w:spacing w:val="2"/>
                <w:w w:val="103"/>
              </w:rPr>
              <w:t>P</w:t>
            </w:r>
            <w:r w:rsidRPr="004058B2">
              <w:rPr>
                <w:rFonts w:ascii="Arial" w:hAnsi="Arial" w:cs="Arial"/>
                <w:b/>
                <w:bCs/>
                <w:spacing w:val="3"/>
                <w:w w:val="103"/>
              </w:rPr>
              <w:t>O</w:t>
            </w:r>
            <w:r w:rsidRPr="004058B2">
              <w:rPr>
                <w:rFonts w:ascii="Arial" w:hAnsi="Arial" w:cs="Arial"/>
                <w:b/>
                <w:bCs/>
                <w:spacing w:val="2"/>
                <w:w w:val="103"/>
              </w:rPr>
              <w:t>L</w:t>
            </w:r>
            <w:r w:rsidRPr="004058B2">
              <w:rPr>
                <w:rFonts w:ascii="Arial" w:hAnsi="Arial" w:cs="Arial"/>
                <w:b/>
                <w:bCs/>
                <w:spacing w:val="1"/>
                <w:w w:val="103"/>
              </w:rPr>
              <w:t>I</w:t>
            </w:r>
            <w:r w:rsidRPr="004058B2">
              <w:rPr>
                <w:rFonts w:ascii="Arial" w:hAnsi="Arial" w:cs="Arial"/>
                <w:b/>
                <w:bCs/>
                <w:spacing w:val="2"/>
                <w:w w:val="103"/>
              </w:rPr>
              <w:t>C</w:t>
            </w:r>
            <w:r w:rsidRPr="004058B2">
              <w:rPr>
                <w:rFonts w:ascii="Arial" w:hAnsi="Arial" w:cs="Arial"/>
                <w:b/>
                <w:bCs/>
                <w:spacing w:val="1"/>
                <w:w w:val="103"/>
              </w:rPr>
              <w:t>I</w:t>
            </w:r>
            <w:r w:rsidRPr="004058B2">
              <w:rPr>
                <w:rFonts w:ascii="Arial" w:hAnsi="Arial" w:cs="Arial"/>
                <w:b/>
                <w:bCs/>
                <w:spacing w:val="2"/>
                <w:w w:val="103"/>
              </w:rPr>
              <w:t>ES</w:t>
            </w:r>
            <w:r w:rsidRPr="004058B2">
              <w:rPr>
                <w:rFonts w:ascii="Arial" w:hAnsi="Arial" w:cs="Arial"/>
                <w:b/>
                <w:bCs/>
                <w:w w:val="103"/>
              </w:rPr>
              <w:t>:</w:t>
            </w:r>
            <w:r w:rsidRPr="004058B2">
              <w:rPr>
                <w:rFonts w:ascii="Arial" w:hAnsi="Arial" w:cs="Arial"/>
              </w:rPr>
              <w:tab/>
            </w:r>
          </w:p>
        </w:tc>
        <w:tc>
          <w:tcPr>
            <w:tcW w:w="6570" w:type="dxa"/>
          </w:tcPr>
          <w:p w14:paraId="5BB32BEF" w14:textId="4791C99C" w:rsidR="00A725BA" w:rsidRPr="0039770E" w:rsidRDefault="007F5C70" w:rsidP="00823B9C">
            <w:pPr>
              <w:tabs>
                <w:tab w:val="left" w:pos="10160"/>
              </w:tabs>
              <w:autoSpaceDE w:val="0"/>
              <w:autoSpaceDN w:val="0"/>
              <w:adjustRightInd w:val="0"/>
              <w:rPr>
                <w:rFonts w:ascii="Arial" w:hAnsi="Arial" w:cs="Arial"/>
                <w:sz w:val="20"/>
                <w:szCs w:val="20"/>
              </w:rPr>
            </w:pPr>
            <w:r>
              <w:rPr>
                <w:rFonts w:ascii="Arial" w:hAnsi="Arial" w:cs="Arial"/>
                <w:sz w:val="20"/>
                <w:szCs w:val="20"/>
              </w:rPr>
              <w:t>SOP #103: Responsibilities of the Research Team</w:t>
            </w:r>
            <w:r w:rsidR="00A725BA" w:rsidRPr="0039770E">
              <w:rPr>
                <w:rFonts w:ascii="Arial" w:hAnsi="Arial" w:cs="Arial"/>
                <w:sz w:val="20"/>
                <w:szCs w:val="20"/>
              </w:rPr>
              <w:tab/>
            </w:r>
          </w:p>
        </w:tc>
      </w:tr>
      <w:tr w:rsidR="00A725BA" w:rsidRPr="004058B2" w14:paraId="5BB32BF3" w14:textId="77777777" w:rsidTr="00427764">
        <w:tc>
          <w:tcPr>
            <w:tcW w:w="2628" w:type="dxa"/>
            <w:vAlign w:val="bottom"/>
          </w:tcPr>
          <w:p w14:paraId="5BB32BF1" w14:textId="77777777" w:rsidR="00A725BA" w:rsidRPr="004058B2" w:rsidRDefault="00A725BA" w:rsidP="00823B9C">
            <w:pPr>
              <w:tabs>
                <w:tab w:val="left" w:pos="10160"/>
              </w:tabs>
              <w:autoSpaceDE w:val="0"/>
              <w:autoSpaceDN w:val="0"/>
              <w:adjustRightInd w:val="0"/>
              <w:spacing w:before="4"/>
              <w:rPr>
                <w:rFonts w:ascii="Arial" w:hAnsi="Arial" w:cs="Arial"/>
                <w:sz w:val="20"/>
                <w:szCs w:val="20"/>
              </w:rPr>
            </w:pPr>
            <w:r w:rsidRPr="004058B2">
              <w:rPr>
                <w:rFonts w:ascii="Arial" w:hAnsi="Arial" w:cs="Arial"/>
                <w:b/>
                <w:bCs/>
                <w:spacing w:val="2"/>
                <w:w w:val="103"/>
              </w:rPr>
              <w:t>APPEND</w:t>
            </w:r>
            <w:r w:rsidRPr="004058B2">
              <w:rPr>
                <w:rFonts w:ascii="Arial" w:hAnsi="Arial" w:cs="Arial"/>
                <w:b/>
                <w:bCs/>
                <w:spacing w:val="1"/>
                <w:w w:val="103"/>
              </w:rPr>
              <w:t>I</w:t>
            </w:r>
            <w:r w:rsidRPr="004058B2">
              <w:rPr>
                <w:rFonts w:ascii="Arial" w:hAnsi="Arial" w:cs="Arial"/>
                <w:b/>
                <w:bCs/>
                <w:spacing w:val="2"/>
                <w:w w:val="103"/>
              </w:rPr>
              <w:t>CES</w:t>
            </w:r>
            <w:r w:rsidRPr="004058B2">
              <w:rPr>
                <w:rFonts w:ascii="Arial" w:hAnsi="Arial" w:cs="Arial"/>
                <w:b/>
                <w:bCs/>
                <w:w w:val="103"/>
              </w:rPr>
              <w:t>:</w:t>
            </w:r>
            <w:r w:rsidRPr="004058B2">
              <w:rPr>
                <w:rFonts w:ascii="Arial" w:hAnsi="Arial" w:cs="Arial"/>
              </w:rPr>
              <w:tab/>
            </w:r>
          </w:p>
        </w:tc>
        <w:tc>
          <w:tcPr>
            <w:tcW w:w="6570" w:type="dxa"/>
          </w:tcPr>
          <w:p w14:paraId="5BB32BF2" w14:textId="6C982E15" w:rsidR="00A725BA" w:rsidRPr="0039770E" w:rsidRDefault="00E316B3" w:rsidP="00823B9C">
            <w:pPr>
              <w:tabs>
                <w:tab w:val="left" w:pos="10160"/>
              </w:tabs>
              <w:autoSpaceDE w:val="0"/>
              <w:autoSpaceDN w:val="0"/>
              <w:adjustRightInd w:val="0"/>
              <w:rPr>
                <w:rFonts w:ascii="Arial" w:hAnsi="Arial" w:cs="Arial"/>
                <w:sz w:val="20"/>
                <w:szCs w:val="20"/>
              </w:rPr>
            </w:pPr>
            <w:r>
              <w:rPr>
                <w:rFonts w:ascii="Arial" w:hAnsi="Arial" w:cs="Arial"/>
                <w:sz w:val="20"/>
                <w:szCs w:val="20"/>
              </w:rPr>
              <w:t>Appendix LL</w:t>
            </w:r>
            <w:r w:rsidR="002D3907">
              <w:rPr>
                <w:rFonts w:ascii="Arial" w:hAnsi="Arial" w:cs="Arial"/>
                <w:sz w:val="20"/>
                <w:szCs w:val="20"/>
              </w:rPr>
              <w:t>: Temperature Log</w:t>
            </w:r>
          </w:p>
        </w:tc>
      </w:tr>
      <w:tr w:rsidR="00A725BA" w:rsidRPr="004058B2" w14:paraId="5BB32BF5" w14:textId="77777777" w:rsidTr="00427764">
        <w:trPr>
          <w:trHeight w:val="353"/>
        </w:trPr>
        <w:tc>
          <w:tcPr>
            <w:tcW w:w="9198" w:type="dxa"/>
            <w:gridSpan w:val="2"/>
            <w:vAlign w:val="bottom"/>
          </w:tcPr>
          <w:p w14:paraId="5BB32BF4" w14:textId="77777777" w:rsidR="00A725BA" w:rsidRPr="004058B2" w:rsidRDefault="00A725BA" w:rsidP="00823B9C">
            <w:pPr>
              <w:tabs>
                <w:tab w:val="left" w:pos="10160"/>
              </w:tabs>
              <w:autoSpaceDE w:val="0"/>
              <w:autoSpaceDN w:val="0"/>
              <w:adjustRightInd w:val="0"/>
              <w:rPr>
                <w:rFonts w:ascii="Arial" w:hAnsi="Arial" w:cs="Arial"/>
              </w:rPr>
            </w:pPr>
            <w:r w:rsidRPr="004058B2">
              <w:rPr>
                <w:rFonts w:ascii="Arial" w:hAnsi="Arial" w:cs="Arial"/>
                <w:b/>
              </w:rPr>
              <w:t xml:space="preserve">REVISION HISTORY: </w:t>
            </w:r>
            <w:r w:rsidRPr="004058B2">
              <w:rPr>
                <w:rFonts w:ascii="Arial" w:hAnsi="Arial" w:cs="Arial"/>
                <w:sz w:val="20"/>
                <w:szCs w:val="20"/>
              </w:rPr>
              <w:t>Keep a running history of all revision dates.</w:t>
            </w:r>
          </w:p>
        </w:tc>
      </w:tr>
    </w:tbl>
    <w:tbl>
      <w:tblPr>
        <w:tblStyle w:val="TableGrid"/>
        <w:tblpPr w:leftFromText="180" w:rightFromText="180" w:vertAnchor="text" w:horzAnchor="margin" w:tblpY="157"/>
        <w:tblW w:w="9198" w:type="dxa"/>
        <w:tblLook w:val="04A0" w:firstRow="1" w:lastRow="0" w:firstColumn="1" w:lastColumn="0" w:noHBand="0" w:noVBand="1"/>
      </w:tblPr>
      <w:tblGrid>
        <w:gridCol w:w="3626"/>
        <w:gridCol w:w="2692"/>
        <w:gridCol w:w="2880"/>
      </w:tblGrid>
      <w:tr w:rsidR="00A725BA" w:rsidRPr="004058B2" w14:paraId="5BB32BF9" w14:textId="77777777" w:rsidTr="00427764">
        <w:tc>
          <w:tcPr>
            <w:tcW w:w="3626" w:type="dxa"/>
          </w:tcPr>
          <w:p w14:paraId="5BB32BF6" w14:textId="77777777" w:rsidR="00A725BA" w:rsidRPr="004058B2" w:rsidRDefault="00A725BA" w:rsidP="00823B9C">
            <w:pPr>
              <w:autoSpaceDE w:val="0"/>
              <w:autoSpaceDN w:val="0"/>
              <w:adjustRightInd w:val="0"/>
              <w:ind w:right="-20"/>
              <w:rPr>
                <w:rFonts w:ascii="Arial" w:hAnsi="Arial" w:cs="Arial"/>
                <w:b/>
              </w:rPr>
            </w:pPr>
            <w:r w:rsidRPr="004058B2">
              <w:rPr>
                <w:rFonts w:ascii="Arial" w:hAnsi="Arial" w:cs="Arial"/>
                <w:b/>
              </w:rPr>
              <w:t>Approval Date</w:t>
            </w:r>
          </w:p>
        </w:tc>
        <w:tc>
          <w:tcPr>
            <w:tcW w:w="2692" w:type="dxa"/>
          </w:tcPr>
          <w:p w14:paraId="5BB32BF7" w14:textId="77777777" w:rsidR="00A725BA" w:rsidRPr="004058B2" w:rsidRDefault="00A725BA" w:rsidP="00823B9C">
            <w:pPr>
              <w:autoSpaceDE w:val="0"/>
              <w:autoSpaceDN w:val="0"/>
              <w:adjustRightInd w:val="0"/>
              <w:ind w:right="-20"/>
              <w:rPr>
                <w:rFonts w:ascii="Arial" w:hAnsi="Arial" w:cs="Arial"/>
                <w:b/>
              </w:rPr>
            </w:pPr>
            <w:r w:rsidRPr="004058B2">
              <w:rPr>
                <w:rFonts w:ascii="Arial" w:hAnsi="Arial" w:cs="Arial"/>
                <w:b/>
              </w:rPr>
              <w:t>Effective Date</w:t>
            </w:r>
          </w:p>
        </w:tc>
        <w:tc>
          <w:tcPr>
            <w:tcW w:w="2880" w:type="dxa"/>
          </w:tcPr>
          <w:p w14:paraId="5BB32BF8" w14:textId="77777777" w:rsidR="00A725BA" w:rsidRPr="004058B2" w:rsidRDefault="00A725BA" w:rsidP="00823B9C">
            <w:pPr>
              <w:autoSpaceDE w:val="0"/>
              <w:autoSpaceDN w:val="0"/>
              <w:adjustRightInd w:val="0"/>
              <w:ind w:right="-20"/>
              <w:rPr>
                <w:rFonts w:ascii="Arial" w:hAnsi="Arial" w:cs="Arial"/>
                <w:b/>
              </w:rPr>
            </w:pPr>
            <w:r w:rsidRPr="004058B2">
              <w:rPr>
                <w:rFonts w:ascii="Arial" w:hAnsi="Arial" w:cs="Arial"/>
                <w:b/>
              </w:rPr>
              <w:t>Review/Revision Date</w:t>
            </w:r>
          </w:p>
        </w:tc>
      </w:tr>
      <w:tr w:rsidR="00A725BA" w:rsidRPr="004058B2" w14:paraId="5BB32BFD" w14:textId="77777777" w:rsidTr="00427764">
        <w:trPr>
          <w:trHeight w:val="288"/>
        </w:trPr>
        <w:tc>
          <w:tcPr>
            <w:tcW w:w="3626" w:type="dxa"/>
          </w:tcPr>
          <w:p w14:paraId="5BB32BFA" w14:textId="1B5161B8" w:rsidR="00A725BA" w:rsidRPr="004058B2" w:rsidRDefault="00F85833" w:rsidP="00823B9C">
            <w:pPr>
              <w:autoSpaceDE w:val="0"/>
              <w:autoSpaceDN w:val="0"/>
              <w:adjustRightInd w:val="0"/>
              <w:ind w:right="-20"/>
              <w:rPr>
                <w:rFonts w:ascii="Arial" w:hAnsi="Arial" w:cs="Arial"/>
                <w:b/>
              </w:rPr>
            </w:pPr>
            <w:r>
              <w:rPr>
                <w:rFonts w:ascii="Arial" w:hAnsi="Arial" w:cs="Arial"/>
                <w:b/>
              </w:rPr>
              <w:t>01/01/2015</w:t>
            </w:r>
          </w:p>
        </w:tc>
        <w:tc>
          <w:tcPr>
            <w:tcW w:w="2692" w:type="dxa"/>
          </w:tcPr>
          <w:p w14:paraId="5BB32BFB" w14:textId="1C1E94EE" w:rsidR="00A725BA" w:rsidRPr="004058B2" w:rsidRDefault="00F85833" w:rsidP="00823B9C">
            <w:pPr>
              <w:autoSpaceDE w:val="0"/>
              <w:autoSpaceDN w:val="0"/>
              <w:adjustRightInd w:val="0"/>
              <w:ind w:right="-20"/>
              <w:rPr>
                <w:rFonts w:ascii="Arial" w:hAnsi="Arial" w:cs="Arial"/>
                <w:b/>
              </w:rPr>
            </w:pPr>
            <w:r>
              <w:rPr>
                <w:rFonts w:ascii="Arial" w:hAnsi="Arial" w:cs="Arial"/>
                <w:b/>
              </w:rPr>
              <w:t>01/01/2015</w:t>
            </w:r>
          </w:p>
        </w:tc>
        <w:tc>
          <w:tcPr>
            <w:tcW w:w="2880" w:type="dxa"/>
          </w:tcPr>
          <w:p w14:paraId="5BB32BFC" w14:textId="77777777" w:rsidR="00A725BA" w:rsidRPr="004058B2" w:rsidRDefault="00A725BA" w:rsidP="00823B9C">
            <w:pPr>
              <w:autoSpaceDE w:val="0"/>
              <w:autoSpaceDN w:val="0"/>
              <w:adjustRightInd w:val="0"/>
              <w:ind w:right="-20"/>
              <w:rPr>
                <w:rFonts w:ascii="Arial" w:hAnsi="Arial" w:cs="Arial"/>
                <w:b/>
              </w:rPr>
            </w:pPr>
          </w:p>
        </w:tc>
      </w:tr>
      <w:tr w:rsidR="00A725BA" w:rsidRPr="004058B2" w14:paraId="5BB32C01" w14:textId="77777777" w:rsidTr="00427764">
        <w:trPr>
          <w:trHeight w:val="288"/>
        </w:trPr>
        <w:tc>
          <w:tcPr>
            <w:tcW w:w="3626" w:type="dxa"/>
          </w:tcPr>
          <w:p w14:paraId="5BB32BFE" w14:textId="77777777" w:rsidR="00A725BA" w:rsidRPr="004058B2" w:rsidRDefault="00A725BA" w:rsidP="00823B9C">
            <w:pPr>
              <w:autoSpaceDE w:val="0"/>
              <w:autoSpaceDN w:val="0"/>
              <w:adjustRightInd w:val="0"/>
              <w:ind w:right="-20"/>
              <w:rPr>
                <w:rFonts w:ascii="Arial" w:hAnsi="Arial" w:cs="Arial"/>
                <w:b/>
              </w:rPr>
            </w:pPr>
          </w:p>
        </w:tc>
        <w:tc>
          <w:tcPr>
            <w:tcW w:w="2692" w:type="dxa"/>
          </w:tcPr>
          <w:p w14:paraId="5BB32BFF" w14:textId="77777777" w:rsidR="00A725BA" w:rsidRPr="004058B2" w:rsidRDefault="00A725BA" w:rsidP="00823B9C">
            <w:pPr>
              <w:autoSpaceDE w:val="0"/>
              <w:autoSpaceDN w:val="0"/>
              <w:adjustRightInd w:val="0"/>
              <w:ind w:right="-20"/>
              <w:rPr>
                <w:rFonts w:ascii="Arial" w:hAnsi="Arial" w:cs="Arial"/>
                <w:b/>
              </w:rPr>
            </w:pPr>
          </w:p>
        </w:tc>
        <w:tc>
          <w:tcPr>
            <w:tcW w:w="2880" w:type="dxa"/>
          </w:tcPr>
          <w:p w14:paraId="5BB32C00" w14:textId="77777777" w:rsidR="00A725BA" w:rsidRPr="004058B2" w:rsidRDefault="00A725BA" w:rsidP="00823B9C">
            <w:pPr>
              <w:autoSpaceDE w:val="0"/>
              <w:autoSpaceDN w:val="0"/>
              <w:adjustRightInd w:val="0"/>
              <w:ind w:right="-20"/>
              <w:rPr>
                <w:rFonts w:ascii="Arial" w:hAnsi="Arial" w:cs="Arial"/>
                <w:b/>
              </w:rPr>
            </w:pPr>
          </w:p>
        </w:tc>
      </w:tr>
      <w:tr w:rsidR="00A725BA" w:rsidRPr="004058B2" w14:paraId="5BB32C05" w14:textId="77777777" w:rsidTr="00427764">
        <w:trPr>
          <w:trHeight w:val="288"/>
        </w:trPr>
        <w:tc>
          <w:tcPr>
            <w:tcW w:w="3626" w:type="dxa"/>
          </w:tcPr>
          <w:p w14:paraId="5BB32C02" w14:textId="77777777" w:rsidR="00A725BA" w:rsidRPr="004058B2" w:rsidRDefault="00A725BA" w:rsidP="00823B9C">
            <w:pPr>
              <w:autoSpaceDE w:val="0"/>
              <w:autoSpaceDN w:val="0"/>
              <w:adjustRightInd w:val="0"/>
              <w:ind w:right="-20"/>
              <w:rPr>
                <w:rFonts w:ascii="Arial" w:hAnsi="Arial" w:cs="Arial"/>
                <w:b/>
              </w:rPr>
            </w:pPr>
          </w:p>
        </w:tc>
        <w:tc>
          <w:tcPr>
            <w:tcW w:w="2692" w:type="dxa"/>
          </w:tcPr>
          <w:p w14:paraId="5BB32C03" w14:textId="77777777" w:rsidR="00A725BA" w:rsidRPr="004058B2" w:rsidRDefault="00A725BA" w:rsidP="00823B9C">
            <w:pPr>
              <w:autoSpaceDE w:val="0"/>
              <w:autoSpaceDN w:val="0"/>
              <w:adjustRightInd w:val="0"/>
              <w:ind w:right="-20"/>
              <w:rPr>
                <w:rFonts w:ascii="Arial" w:hAnsi="Arial" w:cs="Arial"/>
                <w:b/>
              </w:rPr>
            </w:pPr>
          </w:p>
        </w:tc>
        <w:tc>
          <w:tcPr>
            <w:tcW w:w="2880" w:type="dxa"/>
          </w:tcPr>
          <w:p w14:paraId="5BB32C04" w14:textId="77777777" w:rsidR="00A725BA" w:rsidRPr="004058B2" w:rsidRDefault="00A725BA" w:rsidP="00823B9C">
            <w:pPr>
              <w:autoSpaceDE w:val="0"/>
              <w:autoSpaceDN w:val="0"/>
              <w:adjustRightInd w:val="0"/>
              <w:ind w:right="-20"/>
              <w:rPr>
                <w:rFonts w:ascii="Arial" w:hAnsi="Arial" w:cs="Arial"/>
                <w:b/>
              </w:rPr>
            </w:pPr>
          </w:p>
        </w:tc>
      </w:tr>
      <w:tr w:rsidR="00A725BA" w:rsidRPr="004058B2" w14:paraId="5BB32C09" w14:textId="77777777" w:rsidTr="00427764">
        <w:trPr>
          <w:trHeight w:val="288"/>
        </w:trPr>
        <w:tc>
          <w:tcPr>
            <w:tcW w:w="3626" w:type="dxa"/>
          </w:tcPr>
          <w:p w14:paraId="5BB32C06" w14:textId="77777777" w:rsidR="00A725BA" w:rsidRPr="004058B2" w:rsidRDefault="00A725BA" w:rsidP="00823B9C">
            <w:pPr>
              <w:autoSpaceDE w:val="0"/>
              <w:autoSpaceDN w:val="0"/>
              <w:adjustRightInd w:val="0"/>
              <w:ind w:right="-20"/>
              <w:rPr>
                <w:rFonts w:ascii="Arial" w:hAnsi="Arial" w:cs="Arial"/>
                <w:b/>
              </w:rPr>
            </w:pPr>
          </w:p>
        </w:tc>
        <w:tc>
          <w:tcPr>
            <w:tcW w:w="2692" w:type="dxa"/>
          </w:tcPr>
          <w:p w14:paraId="5BB32C07" w14:textId="77777777" w:rsidR="00A725BA" w:rsidRPr="004058B2" w:rsidRDefault="00A725BA" w:rsidP="00823B9C">
            <w:pPr>
              <w:autoSpaceDE w:val="0"/>
              <w:autoSpaceDN w:val="0"/>
              <w:adjustRightInd w:val="0"/>
              <w:ind w:right="-20"/>
              <w:rPr>
                <w:rFonts w:ascii="Arial" w:hAnsi="Arial" w:cs="Arial"/>
                <w:b/>
              </w:rPr>
            </w:pPr>
          </w:p>
        </w:tc>
        <w:tc>
          <w:tcPr>
            <w:tcW w:w="2880" w:type="dxa"/>
          </w:tcPr>
          <w:p w14:paraId="5BB32C08" w14:textId="77777777" w:rsidR="00A725BA" w:rsidRPr="004058B2" w:rsidRDefault="00A725BA" w:rsidP="00823B9C">
            <w:pPr>
              <w:autoSpaceDE w:val="0"/>
              <w:autoSpaceDN w:val="0"/>
              <w:adjustRightInd w:val="0"/>
              <w:ind w:right="-20"/>
              <w:rPr>
                <w:rFonts w:ascii="Arial" w:hAnsi="Arial" w:cs="Arial"/>
                <w:b/>
              </w:rPr>
            </w:pPr>
          </w:p>
        </w:tc>
      </w:tr>
    </w:tbl>
    <w:p w14:paraId="5BB32C0A" w14:textId="77777777" w:rsidR="00A725BA" w:rsidRDefault="00A725BA" w:rsidP="00A725BA">
      <w:pPr>
        <w:autoSpaceDE w:val="0"/>
        <w:autoSpaceDN w:val="0"/>
        <w:adjustRightInd w:val="0"/>
        <w:spacing w:after="0" w:line="240" w:lineRule="auto"/>
        <w:rPr>
          <w:rFonts w:ascii="Times New Roman" w:hAnsi="Times New Roman" w:cs="Times New Roman"/>
          <w:sz w:val="24"/>
          <w:szCs w:val="24"/>
        </w:rPr>
      </w:pPr>
    </w:p>
    <w:p w14:paraId="5BB32C10" w14:textId="77777777" w:rsidR="00A725BA" w:rsidRDefault="00A725BA"/>
    <w:sectPr w:rsidR="00A725BA" w:rsidSect="00823B9C">
      <w:head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2C15" w14:textId="77777777" w:rsidR="00EF1F8D" w:rsidRDefault="00EF1F8D" w:rsidP="00835364">
      <w:pPr>
        <w:spacing w:after="0" w:line="240" w:lineRule="auto"/>
      </w:pPr>
      <w:r>
        <w:separator/>
      </w:r>
    </w:p>
  </w:endnote>
  <w:endnote w:type="continuationSeparator" w:id="0">
    <w:p w14:paraId="5BB32C16" w14:textId="77777777" w:rsidR="00EF1F8D" w:rsidRDefault="00EF1F8D" w:rsidP="0083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2C13" w14:textId="77777777" w:rsidR="00EF1F8D" w:rsidRDefault="00EF1F8D" w:rsidP="00835364">
      <w:pPr>
        <w:spacing w:after="0" w:line="240" w:lineRule="auto"/>
      </w:pPr>
      <w:r>
        <w:separator/>
      </w:r>
    </w:p>
  </w:footnote>
  <w:footnote w:type="continuationSeparator" w:id="0">
    <w:p w14:paraId="5BB32C14" w14:textId="77777777" w:rsidR="00EF1F8D" w:rsidRDefault="00EF1F8D" w:rsidP="00835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20" w:type="pct"/>
      <w:tblInd w:w="15" w:type="dxa"/>
      <w:tblLayout w:type="fixed"/>
      <w:tblCellMar>
        <w:left w:w="0" w:type="dxa"/>
        <w:right w:w="0" w:type="dxa"/>
      </w:tblCellMar>
      <w:tblLook w:val="0020" w:firstRow="1" w:lastRow="0" w:firstColumn="0" w:lastColumn="0" w:noHBand="0" w:noVBand="0"/>
    </w:tblPr>
    <w:tblGrid>
      <w:gridCol w:w="1854"/>
      <w:gridCol w:w="2935"/>
      <w:gridCol w:w="1499"/>
      <w:gridCol w:w="2764"/>
    </w:tblGrid>
    <w:tr w:rsidR="00EF1F8D" w14:paraId="58920169" w14:textId="77777777" w:rsidTr="00823B9C">
      <w:trPr>
        <w:cantSplit/>
        <w:trHeight w:hRule="exact" w:val="576"/>
        <w:tblHeader/>
      </w:trPr>
      <w:tc>
        <w:tcPr>
          <w:tcW w:w="5000" w:type="pct"/>
          <w:gridSpan w:val="4"/>
          <w:tcBorders>
            <w:top w:val="single" w:sz="12" w:space="0" w:color="000000"/>
            <w:left w:val="single" w:sz="12" w:space="0" w:color="000000"/>
            <w:bottom w:val="single" w:sz="12" w:space="0" w:color="000000"/>
            <w:right w:val="single" w:sz="12" w:space="0" w:color="000000"/>
          </w:tcBorders>
        </w:tcPr>
        <w:p w14:paraId="17BE0693" w14:textId="77777777" w:rsidR="00EF1F8D" w:rsidRDefault="00EF1F8D" w:rsidP="00823B9C">
          <w:pPr>
            <w:autoSpaceDE w:val="0"/>
            <w:autoSpaceDN w:val="0"/>
            <w:adjustRightInd w:val="0"/>
            <w:spacing w:before="4" w:after="0" w:line="240" w:lineRule="auto"/>
            <w:ind w:right="-20"/>
            <w:jc w:val="center"/>
            <w:rPr>
              <w:rFonts w:ascii="Arial" w:hAnsi="Arial" w:cs="Arial"/>
              <w:b/>
              <w:bCs/>
              <w:sz w:val="24"/>
              <w:szCs w:val="24"/>
            </w:rPr>
          </w:pPr>
        </w:p>
        <w:p w14:paraId="700EF34A" w14:textId="14DA90A1" w:rsidR="00EF1F8D" w:rsidRPr="0024352A" w:rsidRDefault="00EF1F8D" w:rsidP="00823B9C">
          <w:pPr>
            <w:autoSpaceDE w:val="0"/>
            <w:autoSpaceDN w:val="0"/>
            <w:adjustRightInd w:val="0"/>
            <w:spacing w:before="4" w:after="0" w:line="240" w:lineRule="auto"/>
            <w:ind w:right="-20"/>
            <w:jc w:val="center"/>
            <w:rPr>
              <w:rFonts w:ascii="Arial" w:hAnsi="Arial" w:cs="Arial"/>
              <w:b/>
              <w:bCs/>
              <w:sz w:val="24"/>
              <w:szCs w:val="24"/>
            </w:rPr>
          </w:pPr>
          <w:r w:rsidRPr="0024352A">
            <w:rPr>
              <w:rFonts w:ascii="Arial" w:hAnsi="Arial" w:cs="Arial"/>
              <w:b/>
              <w:bCs/>
              <w:sz w:val="24"/>
              <w:szCs w:val="24"/>
            </w:rPr>
            <w:t>Stan</w:t>
          </w:r>
          <w:r>
            <w:rPr>
              <w:rFonts w:ascii="Arial" w:hAnsi="Arial" w:cs="Arial"/>
              <w:b/>
              <w:bCs/>
              <w:sz w:val="24"/>
              <w:szCs w:val="24"/>
            </w:rPr>
            <w:t>dard Operating Procedures for Clinical Research</w:t>
          </w:r>
          <w:r w:rsidRPr="0024352A">
            <w:rPr>
              <w:rFonts w:ascii="Arial" w:hAnsi="Arial" w:cs="Arial"/>
              <w:b/>
              <w:bCs/>
              <w:sz w:val="24"/>
              <w:szCs w:val="24"/>
            </w:rPr>
            <w:t xml:space="preserve"> at USF </w:t>
          </w:r>
          <w:r w:rsidR="00595913">
            <w:rPr>
              <w:rFonts w:ascii="Arial" w:hAnsi="Arial" w:cs="Arial"/>
              <w:b/>
              <w:bCs/>
              <w:sz w:val="24"/>
              <w:szCs w:val="24"/>
            </w:rPr>
            <w:t>Health</w:t>
          </w:r>
          <w:r>
            <w:rPr>
              <w:rFonts w:ascii="Arial" w:hAnsi="Arial" w:cs="Arial"/>
              <w:b/>
              <w:bCs/>
              <w:sz w:val="24"/>
              <w:szCs w:val="24"/>
            </w:rPr>
            <w:t xml:space="preserve"> CRC</w:t>
          </w:r>
        </w:p>
        <w:p w14:paraId="08985F70" w14:textId="77777777" w:rsidR="00EF1F8D" w:rsidRDefault="00EF1F8D" w:rsidP="00823B9C">
          <w:pPr>
            <w:autoSpaceDE w:val="0"/>
            <w:autoSpaceDN w:val="0"/>
            <w:adjustRightInd w:val="0"/>
            <w:spacing w:before="4" w:after="0" w:line="240" w:lineRule="auto"/>
            <w:ind w:right="-20"/>
            <w:jc w:val="center"/>
            <w:rPr>
              <w:rFonts w:ascii="Arial" w:hAnsi="Arial" w:cs="Arial"/>
              <w:b/>
              <w:bCs/>
            </w:rPr>
          </w:pPr>
        </w:p>
      </w:tc>
    </w:tr>
    <w:tr w:rsidR="00EF1F8D" w:rsidRPr="00B70813" w14:paraId="5E4BA2ED" w14:textId="77777777" w:rsidTr="00F85833">
      <w:trPr>
        <w:cantSplit/>
        <w:trHeight w:hRule="exact" w:val="993"/>
        <w:tblHeader/>
      </w:trPr>
      <w:tc>
        <w:tcPr>
          <w:tcW w:w="1024" w:type="pct"/>
          <w:tcBorders>
            <w:top w:val="single" w:sz="12" w:space="0" w:color="000000"/>
            <w:left w:val="single" w:sz="12" w:space="0" w:color="000000"/>
            <w:bottom w:val="single" w:sz="12" w:space="0" w:color="000000"/>
            <w:right w:val="single" w:sz="12" w:space="0" w:color="000000"/>
          </w:tcBorders>
          <w:vAlign w:val="center"/>
        </w:tcPr>
        <w:p w14:paraId="744CFC0C" w14:textId="77777777" w:rsidR="00EF1F8D" w:rsidRPr="00F93A82" w:rsidRDefault="00EF1F8D" w:rsidP="00823B9C">
          <w:pPr>
            <w:autoSpaceDE w:val="0"/>
            <w:autoSpaceDN w:val="0"/>
            <w:adjustRightInd w:val="0"/>
            <w:spacing w:before="65" w:after="0" w:line="240" w:lineRule="auto"/>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5B129A" wp14:editId="0AD8E3F9">
                <wp:extent cx="819150" cy="5665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52" cy="570459"/>
                        </a:xfrm>
                        <a:prstGeom prst="rect">
                          <a:avLst/>
                        </a:prstGeom>
                        <a:noFill/>
                      </pic:spPr>
                    </pic:pic>
                  </a:graphicData>
                </a:graphic>
              </wp:inline>
            </w:drawing>
          </w:r>
        </w:p>
      </w:tc>
      <w:tc>
        <w:tcPr>
          <w:tcW w:w="3976" w:type="pct"/>
          <w:gridSpan w:val="3"/>
          <w:tcBorders>
            <w:top w:val="single" w:sz="12" w:space="0" w:color="000000"/>
            <w:left w:val="single" w:sz="12" w:space="0" w:color="000000"/>
            <w:bottom w:val="single" w:sz="12" w:space="0" w:color="000000"/>
            <w:right w:val="single" w:sz="12" w:space="0" w:color="000000"/>
          </w:tcBorders>
        </w:tcPr>
        <w:p w14:paraId="486E4F92" w14:textId="77777777" w:rsidR="00EF1F8D" w:rsidRDefault="00EF1F8D" w:rsidP="00823B9C">
          <w:pPr>
            <w:autoSpaceDE w:val="0"/>
            <w:autoSpaceDN w:val="0"/>
            <w:adjustRightInd w:val="0"/>
            <w:spacing w:before="4" w:after="0" w:line="240" w:lineRule="auto"/>
            <w:ind w:right="-20"/>
            <w:jc w:val="center"/>
            <w:rPr>
              <w:rFonts w:ascii="Arial" w:hAnsi="Arial" w:cs="Arial"/>
              <w:b/>
              <w:bCs/>
            </w:rPr>
          </w:pPr>
        </w:p>
        <w:p w14:paraId="4AEF6D94" w14:textId="77777777" w:rsidR="00EF1F8D" w:rsidRPr="00B70813" w:rsidRDefault="00EF1F8D" w:rsidP="00823B9C">
          <w:pPr>
            <w:tabs>
              <w:tab w:val="left" w:pos="240"/>
              <w:tab w:val="center" w:pos="3594"/>
            </w:tabs>
            <w:autoSpaceDE w:val="0"/>
            <w:autoSpaceDN w:val="0"/>
            <w:adjustRightInd w:val="0"/>
            <w:spacing w:after="0" w:line="240" w:lineRule="auto"/>
            <w:ind w:right="-20"/>
            <w:rPr>
              <w:rFonts w:ascii="Arial" w:hAnsi="Arial" w:cs="Arial"/>
              <w:sz w:val="28"/>
              <w:szCs w:val="28"/>
            </w:rPr>
          </w:pPr>
          <w:r w:rsidRPr="007862E0">
            <w:rPr>
              <w:rFonts w:ascii="Arial" w:hAnsi="Arial" w:cs="Arial"/>
              <w:b/>
              <w:sz w:val="28"/>
              <w:szCs w:val="28"/>
            </w:rPr>
            <w:tab/>
          </w:r>
          <w:r w:rsidRPr="007862E0">
            <w:rPr>
              <w:rFonts w:ascii="Arial" w:hAnsi="Arial" w:cs="Arial"/>
              <w:b/>
              <w:sz w:val="28"/>
              <w:szCs w:val="28"/>
            </w:rPr>
            <w:tab/>
          </w:r>
          <w:r w:rsidRPr="00595913">
            <w:rPr>
              <w:rFonts w:ascii="Arial" w:hAnsi="Arial" w:cs="Arial"/>
              <w:b/>
              <w:sz w:val="28"/>
              <w:szCs w:val="28"/>
            </w:rPr>
            <w:t>TEMPERATURE MONITORING</w:t>
          </w:r>
        </w:p>
      </w:tc>
    </w:tr>
    <w:tr w:rsidR="00F85833" w:rsidRPr="00851AE9" w14:paraId="55EE8B19" w14:textId="77777777" w:rsidTr="00F85833">
      <w:trPr>
        <w:cantSplit/>
        <w:trHeight w:hRule="exact" w:val="525"/>
        <w:tblHeader/>
      </w:trPr>
      <w:tc>
        <w:tcPr>
          <w:tcW w:w="1024" w:type="pct"/>
          <w:tcBorders>
            <w:top w:val="single" w:sz="12" w:space="0" w:color="000000"/>
            <w:left w:val="single" w:sz="12" w:space="0" w:color="000000"/>
            <w:bottom w:val="single" w:sz="12" w:space="0" w:color="000000"/>
            <w:right w:val="single" w:sz="12" w:space="0" w:color="000000"/>
          </w:tcBorders>
          <w:vAlign w:val="bottom"/>
        </w:tcPr>
        <w:p w14:paraId="7C0D9299" w14:textId="77777777" w:rsidR="00F85833" w:rsidRPr="00851AE9" w:rsidRDefault="00F85833" w:rsidP="00F85833">
          <w:pPr>
            <w:autoSpaceDE w:val="0"/>
            <w:autoSpaceDN w:val="0"/>
            <w:adjustRightInd w:val="0"/>
            <w:spacing w:after="0" w:line="240" w:lineRule="auto"/>
            <w:ind w:left="95" w:right="-20"/>
            <w:rPr>
              <w:rFonts w:ascii="Arial" w:hAnsi="Arial" w:cs="Arial"/>
              <w:b/>
            </w:rPr>
          </w:pPr>
          <w:r>
            <w:rPr>
              <w:rFonts w:ascii="Arial" w:hAnsi="Arial" w:cs="Arial"/>
              <w:b/>
            </w:rPr>
            <w:t>SOP#: 605</w:t>
          </w:r>
        </w:p>
      </w:tc>
      <w:tc>
        <w:tcPr>
          <w:tcW w:w="1621" w:type="pct"/>
          <w:tcBorders>
            <w:top w:val="single" w:sz="12" w:space="0" w:color="000000"/>
            <w:left w:val="single" w:sz="12" w:space="0" w:color="000000"/>
            <w:bottom w:val="single" w:sz="12" w:space="0" w:color="000000"/>
            <w:right w:val="single" w:sz="4" w:space="0" w:color="auto"/>
          </w:tcBorders>
          <w:vAlign w:val="bottom"/>
        </w:tcPr>
        <w:p w14:paraId="2FBDEC2C" w14:textId="33EC5047" w:rsidR="00F85833" w:rsidRPr="00851AE9" w:rsidRDefault="00F85833" w:rsidP="00F85833">
          <w:pPr>
            <w:autoSpaceDE w:val="0"/>
            <w:autoSpaceDN w:val="0"/>
            <w:adjustRightInd w:val="0"/>
            <w:spacing w:after="0" w:line="240" w:lineRule="auto"/>
            <w:ind w:right="-20"/>
            <w:rPr>
              <w:rFonts w:ascii="Arial" w:hAnsi="Arial" w:cs="Arial"/>
              <w:b/>
              <w:spacing w:val="2"/>
            </w:rPr>
          </w:pPr>
          <w:r w:rsidRPr="00851AE9">
            <w:rPr>
              <w:rFonts w:ascii="Arial" w:hAnsi="Arial" w:cs="Arial"/>
              <w:b/>
              <w:spacing w:val="2"/>
            </w:rPr>
            <w:t>Effective Date:</w:t>
          </w:r>
          <w:r>
            <w:rPr>
              <w:rFonts w:ascii="Arial" w:hAnsi="Arial" w:cs="Arial"/>
              <w:b/>
              <w:spacing w:val="2"/>
            </w:rPr>
            <w:t>01/01/2015</w:t>
          </w:r>
        </w:p>
      </w:tc>
      <w:tc>
        <w:tcPr>
          <w:tcW w:w="828" w:type="pct"/>
          <w:tcBorders>
            <w:top w:val="single" w:sz="12" w:space="0" w:color="000000"/>
            <w:left w:val="single" w:sz="4" w:space="0" w:color="auto"/>
            <w:bottom w:val="single" w:sz="12" w:space="0" w:color="000000"/>
            <w:right w:val="single" w:sz="12" w:space="0" w:color="000000"/>
          </w:tcBorders>
          <w:vAlign w:val="bottom"/>
        </w:tcPr>
        <w:p w14:paraId="241A1FBD" w14:textId="77777777" w:rsidR="00F85833" w:rsidRPr="00851AE9" w:rsidRDefault="00F85833" w:rsidP="00F85833">
          <w:pPr>
            <w:autoSpaceDE w:val="0"/>
            <w:autoSpaceDN w:val="0"/>
            <w:adjustRightInd w:val="0"/>
            <w:spacing w:after="0" w:line="240" w:lineRule="auto"/>
            <w:ind w:right="-20"/>
            <w:rPr>
              <w:rFonts w:ascii="Arial" w:hAnsi="Arial" w:cs="Arial"/>
              <w:b/>
              <w:spacing w:val="2"/>
            </w:rPr>
          </w:pPr>
          <w:r w:rsidRPr="00851AE9">
            <w:rPr>
              <w:rFonts w:ascii="Arial" w:hAnsi="Arial" w:cs="Arial"/>
              <w:b/>
              <w:spacing w:val="2"/>
            </w:rPr>
            <w:t>Version: 1.0</w:t>
          </w:r>
        </w:p>
      </w:tc>
      <w:tc>
        <w:tcPr>
          <w:tcW w:w="1527" w:type="pct"/>
          <w:tcBorders>
            <w:top w:val="single" w:sz="12" w:space="0" w:color="000000"/>
            <w:left w:val="single" w:sz="12" w:space="0" w:color="000000"/>
            <w:bottom w:val="single" w:sz="12" w:space="0" w:color="000000"/>
            <w:right w:val="single" w:sz="12" w:space="0" w:color="000000"/>
          </w:tcBorders>
          <w:vAlign w:val="bottom"/>
        </w:tcPr>
        <w:p w14:paraId="194061A4" w14:textId="5B960A4F" w:rsidR="00F85833" w:rsidRPr="00851AE9" w:rsidRDefault="00F85833" w:rsidP="00F85833">
          <w:pPr>
            <w:autoSpaceDE w:val="0"/>
            <w:autoSpaceDN w:val="0"/>
            <w:adjustRightInd w:val="0"/>
            <w:spacing w:before="18" w:after="0" w:line="253" w:lineRule="auto"/>
            <w:ind w:right="240"/>
            <w:rPr>
              <w:rFonts w:ascii="Arial" w:hAnsi="Arial" w:cs="Arial"/>
              <w:b/>
              <w:bCs/>
              <w:spacing w:val="2"/>
            </w:rPr>
          </w:pPr>
          <w:r>
            <w:rPr>
              <w:rFonts w:ascii="Arial" w:hAnsi="Arial" w:cs="Arial"/>
              <w:b/>
              <w:bCs/>
              <w:spacing w:val="2"/>
            </w:rPr>
            <w:t xml:space="preserve">Page: </w:t>
          </w:r>
          <w:r w:rsidRPr="005348FC">
            <w:rPr>
              <w:rFonts w:ascii="Arial" w:hAnsi="Arial" w:cs="Arial"/>
              <w:b/>
              <w:bCs/>
              <w:spacing w:val="2"/>
            </w:rPr>
            <w:t xml:space="preserve">Page </w:t>
          </w:r>
          <w:r w:rsidRPr="005348FC">
            <w:rPr>
              <w:rFonts w:ascii="Arial" w:hAnsi="Arial" w:cs="Arial"/>
              <w:b/>
              <w:bCs/>
              <w:spacing w:val="2"/>
            </w:rPr>
            <w:fldChar w:fldCharType="begin"/>
          </w:r>
          <w:r w:rsidRPr="005348FC">
            <w:rPr>
              <w:rFonts w:ascii="Arial" w:hAnsi="Arial" w:cs="Arial"/>
              <w:b/>
              <w:bCs/>
              <w:spacing w:val="2"/>
            </w:rPr>
            <w:instrText xml:space="preserve"> PAGE  \* Arabic  \* MERGEFORMAT </w:instrText>
          </w:r>
          <w:r w:rsidRPr="005348FC">
            <w:rPr>
              <w:rFonts w:ascii="Arial" w:hAnsi="Arial" w:cs="Arial"/>
              <w:b/>
              <w:bCs/>
              <w:spacing w:val="2"/>
            </w:rPr>
            <w:fldChar w:fldCharType="separate"/>
          </w:r>
          <w:r>
            <w:rPr>
              <w:rFonts w:ascii="Arial" w:hAnsi="Arial" w:cs="Arial"/>
              <w:b/>
              <w:bCs/>
              <w:noProof/>
              <w:spacing w:val="2"/>
            </w:rPr>
            <w:t>2</w:t>
          </w:r>
          <w:r w:rsidRPr="005348FC">
            <w:rPr>
              <w:rFonts w:ascii="Arial" w:hAnsi="Arial" w:cs="Arial"/>
              <w:b/>
              <w:bCs/>
              <w:spacing w:val="2"/>
            </w:rPr>
            <w:fldChar w:fldCharType="end"/>
          </w:r>
          <w:r w:rsidRPr="005348FC">
            <w:rPr>
              <w:rFonts w:ascii="Arial" w:hAnsi="Arial" w:cs="Arial"/>
              <w:b/>
              <w:bCs/>
              <w:spacing w:val="2"/>
            </w:rPr>
            <w:t xml:space="preserve"> of </w:t>
          </w:r>
          <w:r w:rsidRPr="005348FC">
            <w:rPr>
              <w:rFonts w:ascii="Arial" w:hAnsi="Arial" w:cs="Arial"/>
              <w:b/>
              <w:bCs/>
              <w:spacing w:val="2"/>
            </w:rPr>
            <w:fldChar w:fldCharType="begin"/>
          </w:r>
          <w:r w:rsidRPr="005348FC">
            <w:rPr>
              <w:rFonts w:ascii="Arial" w:hAnsi="Arial" w:cs="Arial"/>
              <w:b/>
              <w:bCs/>
              <w:spacing w:val="2"/>
            </w:rPr>
            <w:instrText xml:space="preserve"> NUMPAGES  \* Arabic  \* MERGEFORMAT </w:instrText>
          </w:r>
          <w:r w:rsidRPr="005348FC">
            <w:rPr>
              <w:rFonts w:ascii="Arial" w:hAnsi="Arial" w:cs="Arial"/>
              <w:b/>
              <w:bCs/>
              <w:spacing w:val="2"/>
            </w:rPr>
            <w:fldChar w:fldCharType="separate"/>
          </w:r>
          <w:r>
            <w:rPr>
              <w:rFonts w:ascii="Arial" w:hAnsi="Arial" w:cs="Arial"/>
              <w:b/>
              <w:bCs/>
              <w:noProof/>
              <w:spacing w:val="2"/>
            </w:rPr>
            <w:t>3</w:t>
          </w:r>
          <w:r w:rsidRPr="005348FC">
            <w:rPr>
              <w:rFonts w:ascii="Arial" w:hAnsi="Arial" w:cs="Arial"/>
              <w:b/>
              <w:bCs/>
              <w:spacing w:val="2"/>
            </w:rPr>
            <w:fldChar w:fldCharType="end"/>
          </w:r>
        </w:p>
      </w:tc>
    </w:tr>
  </w:tbl>
  <w:p w14:paraId="509FCFF6" w14:textId="77777777" w:rsidR="00EF1F8D" w:rsidRDefault="00EF1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1E3"/>
    <w:multiLevelType w:val="hybridMultilevel"/>
    <w:tmpl w:val="074EB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6509A"/>
    <w:multiLevelType w:val="hybridMultilevel"/>
    <w:tmpl w:val="E520B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CB0317"/>
    <w:multiLevelType w:val="hybridMultilevel"/>
    <w:tmpl w:val="880A5C7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nsid w:val="38CF1BD7"/>
    <w:multiLevelType w:val="multilevel"/>
    <w:tmpl w:val="1BD62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52583BB8"/>
    <w:multiLevelType w:val="hybridMultilevel"/>
    <w:tmpl w:val="E1647F1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87C10"/>
    <w:multiLevelType w:val="hybridMultilevel"/>
    <w:tmpl w:val="E1647F1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C3F06"/>
    <w:multiLevelType w:val="multilevel"/>
    <w:tmpl w:val="1EB67F4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7AA4359B"/>
    <w:multiLevelType w:val="multilevel"/>
    <w:tmpl w:val="7E90CF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BA"/>
    <w:rsid w:val="000140F0"/>
    <w:rsid w:val="0003364D"/>
    <w:rsid w:val="0005580D"/>
    <w:rsid w:val="00057EA7"/>
    <w:rsid w:val="00061139"/>
    <w:rsid w:val="00067E34"/>
    <w:rsid w:val="00071970"/>
    <w:rsid w:val="00077DE2"/>
    <w:rsid w:val="00081D1E"/>
    <w:rsid w:val="000C5A6F"/>
    <w:rsid w:val="000E1548"/>
    <w:rsid w:val="000E3AB7"/>
    <w:rsid w:val="000E3B2B"/>
    <w:rsid w:val="00123E84"/>
    <w:rsid w:val="00132185"/>
    <w:rsid w:val="00132CD5"/>
    <w:rsid w:val="00142F4F"/>
    <w:rsid w:val="00160290"/>
    <w:rsid w:val="00165153"/>
    <w:rsid w:val="00174597"/>
    <w:rsid w:val="00195207"/>
    <w:rsid w:val="001A1A85"/>
    <w:rsid w:val="001A25C6"/>
    <w:rsid w:val="001A7100"/>
    <w:rsid w:val="001A7121"/>
    <w:rsid w:val="001C33D2"/>
    <w:rsid w:val="001C605C"/>
    <w:rsid w:val="001E0817"/>
    <w:rsid w:val="001E349E"/>
    <w:rsid w:val="001E7A9F"/>
    <w:rsid w:val="00202604"/>
    <w:rsid w:val="002161E5"/>
    <w:rsid w:val="002332B4"/>
    <w:rsid w:val="00244D8C"/>
    <w:rsid w:val="0024679B"/>
    <w:rsid w:val="00251DA6"/>
    <w:rsid w:val="002D3907"/>
    <w:rsid w:val="002E7AA9"/>
    <w:rsid w:val="002F34F7"/>
    <w:rsid w:val="00311436"/>
    <w:rsid w:val="003227F3"/>
    <w:rsid w:val="00322B7C"/>
    <w:rsid w:val="0034706F"/>
    <w:rsid w:val="00360671"/>
    <w:rsid w:val="00376E59"/>
    <w:rsid w:val="003E3853"/>
    <w:rsid w:val="003F6D48"/>
    <w:rsid w:val="00402581"/>
    <w:rsid w:val="00407EBF"/>
    <w:rsid w:val="00427764"/>
    <w:rsid w:val="004543FA"/>
    <w:rsid w:val="00491F16"/>
    <w:rsid w:val="004B4726"/>
    <w:rsid w:val="004C1DD1"/>
    <w:rsid w:val="004D72E4"/>
    <w:rsid w:val="004E6D4A"/>
    <w:rsid w:val="005029B3"/>
    <w:rsid w:val="00517B3E"/>
    <w:rsid w:val="005348FC"/>
    <w:rsid w:val="00562F21"/>
    <w:rsid w:val="005952BC"/>
    <w:rsid w:val="00595913"/>
    <w:rsid w:val="00615EBB"/>
    <w:rsid w:val="00641769"/>
    <w:rsid w:val="00642AF0"/>
    <w:rsid w:val="006B676B"/>
    <w:rsid w:val="006D0694"/>
    <w:rsid w:val="006F2382"/>
    <w:rsid w:val="00703927"/>
    <w:rsid w:val="007161C6"/>
    <w:rsid w:val="00720021"/>
    <w:rsid w:val="00725AEB"/>
    <w:rsid w:val="00733A1C"/>
    <w:rsid w:val="00760801"/>
    <w:rsid w:val="00783A54"/>
    <w:rsid w:val="007862E0"/>
    <w:rsid w:val="0079201B"/>
    <w:rsid w:val="007A582C"/>
    <w:rsid w:val="007D1216"/>
    <w:rsid w:val="007F30CD"/>
    <w:rsid w:val="007F5C70"/>
    <w:rsid w:val="0080562B"/>
    <w:rsid w:val="00805878"/>
    <w:rsid w:val="00814584"/>
    <w:rsid w:val="00822C63"/>
    <w:rsid w:val="00823B9C"/>
    <w:rsid w:val="00835364"/>
    <w:rsid w:val="0086010E"/>
    <w:rsid w:val="00863E93"/>
    <w:rsid w:val="0087328B"/>
    <w:rsid w:val="00873C07"/>
    <w:rsid w:val="00876D91"/>
    <w:rsid w:val="00895F36"/>
    <w:rsid w:val="008B204D"/>
    <w:rsid w:val="008D0698"/>
    <w:rsid w:val="008E2BC8"/>
    <w:rsid w:val="0092214C"/>
    <w:rsid w:val="00950E67"/>
    <w:rsid w:val="009608E0"/>
    <w:rsid w:val="0098323D"/>
    <w:rsid w:val="0099740D"/>
    <w:rsid w:val="009D0647"/>
    <w:rsid w:val="009D7E82"/>
    <w:rsid w:val="00A02782"/>
    <w:rsid w:val="00A35CB9"/>
    <w:rsid w:val="00A43F96"/>
    <w:rsid w:val="00A53EEA"/>
    <w:rsid w:val="00A64A09"/>
    <w:rsid w:val="00A725BA"/>
    <w:rsid w:val="00A77BE9"/>
    <w:rsid w:val="00A83422"/>
    <w:rsid w:val="00AC707C"/>
    <w:rsid w:val="00B00B3D"/>
    <w:rsid w:val="00B067F3"/>
    <w:rsid w:val="00B06A00"/>
    <w:rsid w:val="00B37721"/>
    <w:rsid w:val="00B467B3"/>
    <w:rsid w:val="00B70813"/>
    <w:rsid w:val="00B74854"/>
    <w:rsid w:val="00B7775E"/>
    <w:rsid w:val="00B868A0"/>
    <w:rsid w:val="00B97D42"/>
    <w:rsid w:val="00BB5DCE"/>
    <w:rsid w:val="00BD4907"/>
    <w:rsid w:val="00C17600"/>
    <w:rsid w:val="00C26927"/>
    <w:rsid w:val="00C358F1"/>
    <w:rsid w:val="00C3613B"/>
    <w:rsid w:val="00C82799"/>
    <w:rsid w:val="00C86C66"/>
    <w:rsid w:val="00C9349E"/>
    <w:rsid w:val="00CA349D"/>
    <w:rsid w:val="00CA5CFD"/>
    <w:rsid w:val="00CF0D93"/>
    <w:rsid w:val="00CF44AF"/>
    <w:rsid w:val="00D34465"/>
    <w:rsid w:val="00D42291"/>
    <w:rsid w:val="00D567B4"/>
    <w:rsid w:val="00D84002"/>
    <w:rsid w:val="00D90598"/>
    <w:rsid w:val="00D91E2B"/>
    <w:rsid w:val="00DA7DC2"/>
    <w:rsid w:val="00DB2424"/>
    <w:rsid w:val="00DE0905"/>
    <w:rsid w:val="00E068FB"/>
    <w:rsid w:val="00E20D03"/>
    <w:rsid w:val="00E213ED"/>
    <w:rsid w:val="00E316B3"/>
    <w:rsid w:val="00E358AC"/>
    <w:rsid w:val="00E45C15"/>
    <w:rsid w:val="00E5261B"/>
    <w:rsid w:val="00EA06FF"/>
    <w:rsid w:val="00EC3413"/>
    <w:rsid w:val="00EE1108"/>
    <w:rsid w:val="00EF1F8D"/>
    <w:rsid w:val="00F1025E"/>
    <w:rsid w:val="00F30CE5"/>
    <w:rsid w:val="00F66399"/>
    <w:rsid w:val="00F70188"/>
    <w:rsid w:val="00F85833"/>
    <w:rsid w:val="00FC65EB"/>
    <w:rsid w:val="00FE00FC"/>
    <w:rsid w:val="00FF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2BD2"/>
  <w15:docId w15:val="{5ECEB9A4-F175-4241-B3B1-A0CAD8F5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BA"/>
    <w:rPr>
      <w:rFonts w:ascii="Tahoma" w:eastAsiaTheme="minorEastAsia" w:hAnsi="Tahoma" w:cs="Tahoma"/>
      <w:sz w:val="16"/>
      <w:szCs w:val="16"/>
    </w:rPr>
  </w:style>
  <w:style w:type="table" w:styleId="TableGrid">
    <w:name w:val="Table Grid"/>
    <w:basedOn w:val="TableNormal"/>
    <w:uiPriority w:val="59"/>
    <w:rsid w:val="00A725B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3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4"/>
    <w:rPr>
      <w:rFonts w:eastAsiaTheme="minorEastAsia"/>
    </w:rPr>
  </w:style>
  <w:style w:type="paragraph" w:styleId="Footer">
    <w:name w:val="footer"/>
    <w:basedOn w:val="Normal"/>
    <w:link w:val="FooterChar"/>
    <w:uiPriority w:val="99"/>
    <w:unhideWhenUsed/>
    <w:rsid w:val="00835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4"/>
    <w:rPr>
      <w:rFonts w:eastAsiaTheme="minorEastAsia"/>
    </w:rPr>
  </w:style>
  <w:style w:type="paragraph" w:styleId="ListParagraph">
    <w:name w:val="List Paragraph"/>
    <w:basedOn w:val="Normal"/>
    <w:uiPriority w:val="34"/>
    <w:qFormat/>
    <w:rsid w:val="007862E0"/>
    <w:pPr>
      <w:ind w:left="720"/>
      <w:contextualSpacing/>
    </w:pPr>
  </w:style>
  <w:style w:type="paragraph" w:customStyle="1" w:styleId="Default">
    <w:name w:val="Default"/>
    <w:rsid w:val="000336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60671"/>
    <w:rPr>
      <w:strike w:val="0"/>
      <w:dstrike w:val="0"/>
      <w:color w:val="362BB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7D57791E0E3A48BED70FD7065F3F46" ma:contentTypeVersion="1" ma:contentTypeDescription="Create a new document." ma:contentTypeScope="" ma:versionID="55d9e20df0df3db326df76979b8a4fe5">
  <xsd:schema xmlns:xsd="http://www.w3.org/2001/XMLSchema" xmlns:xs="http://www.w3.org/2001/XMLSchema" xmlns:p="http://schemas.microsoft.com/office/2006/metadata/properties" targetNamespace="http://schemas.microsoft.com/office/2006/metadata/properties" ma:root="true" ma:fieldsID="3ae980ee066f863fb76c79a957ee5c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3BC5-8254-46D8-A3A3-09E4BF0122C0}">
  <ds:schemaRefs>
    <ds:schemaRef ds:uri="http://schemas.microsoft.com/sharepoint/v3/contenttype/forms"/>
  </ds:schemaRefs>
</ds:datastoreItem>
</file>

<file path=customXml/itemProps2.xml><?xml version="1.0" encoding="utf-8"?>
<ds:datastoreItem xmlns:ds="http://schemas.openxmlformats.org/officeDocument/2006/customXml" ds:itemID="{F71189CE-97A0-403F-8F3E-05AF15D7623C}">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A86792-0FB4-4469-AD30-417061FC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97CC1-387F-478A-8B82-D95D3B35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Aslam, Sadaf</cp:lastModifiedBy>
  <cp:revision>2</cp:revision>
  <dcterms:created xsi:type="dcterms:W3CDTF">2015-08-03T21:40:00Z</dcterms:created>
  <dcterms:modified xsi:type="dcterms:W3CDTF">2015-08-03T21:40:00Z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0x0101001F7D57791E0E3A48BED70FD7065F3F46</vt:lpwstr>
  </property>
</Properties>
</file>