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71872" w14:textId="567B3D35" w:rsidR="00826D6C" w:rsidRPr="00826D6C" w:rsidRDefault="002807EB" w:rsidP="00DC72FB">
      <w:pPr>
        <w:spacing w:line="240" w:lineRule="auto"/>
        <w:rPr>
          <w:rFonts w:ascii="Arial" w:hAnsi="Arial" w:cs="Arial"/>
        </w:rPr>
      </w:pPr>
      <w:r w:rsidRPr="0031007C">
        <w:rPr>
          <w:rFonts w:ascii="Arial" w:hAnsi="Arial" w:cs="Arial"/>
          <w:b/>
          <w:bCs/>
          <w:spacing w:val="2"/>
          <w:w w:val="103"/>
        </w:rPr>
        <w:t>PURP</w:t>
      </w:r>
      <w:r w:rsidRPr="0031007C">
        <w:rPr>
          <w:rFonts w:ascii="Arial" w:hAnsi="Arial" w:cs="Arial"/>
          <w:b/>
          <w:bCs/>
          <w:spacing w:val="3"/>
          <w:w w:val="103"/>
        </w:rPr>
        <w:t>O</w:t>
      </w:r>
      <w:r w:rsidRPr="0031007C">
        <w:rPr>
          <w:rFonts w:ascii="Arial" w:hAnsi="Arial" w:cs="Arial"/>
          <w:b/>
          <w:bCs/>
          <w:spacing w:val="2"/>
          <w:w w:val="103"/>
        </w:rPr>
        <w:t>SE</w:t>
      </w:r>
      <w:r w:rsidRPr="0031007C">
        <w:rPr>
          <w:rFonts w:ascii="Arial" w:hAnsi="Arial" w:cs="Arial"/>
          <w:b/>
          <w:bCs/>
          <w:w w:val="103"/>
        </w:rPr>
        <w:t>:</w:t>
      </w:r>
      <w:r w:rsidRPr="0031007C">
        <w:rPr>
          <w:rFonts w:ascii="Arial" w:hAnsi="Arial" w:cs="Arial"/>
        </w:rPr>
        <w:t xml:space="preserve"> </w:t>
      </w:r>
      <w:r w:rsidR="004E43E3" w:rsidRPr="0031007C">
        <w:rPr>
          <w:rFonts w:ascii="Arial" w:hAnsi="Arial" w:cs="Arial"/>
        </w:rPr>
        <w:t xml:space="preserve">The purpose of this Standard </w:t>
      </w:r>
      <w:r w:rsidR="002E3C0F">
        <w:rPr>
          <w:rFonts w:ascii="Arial" w:hAnsi="Arial" w:cs="Arial"/>
        </w:rPr>
        <w:t xml:space="preserve">Operating Procedure (SOP) is </w:t>
      </w:r>
      <w:r w:rsidR="00A579FA">
        <w:rPr>
          <w:rFonts w:ascii="Arial" w:hAnsi="Arial" w:cs="Arial"/>
        </w:rPr>
        <w:t xml:space="preserve">to describe the </w:t>
      </w:r>
      <w:bookmarkStart w:id="0" w:name="_GoBack"/>
      <w:bookmarkEnd w:id="0"/>
      <w:r w:rsidR="00A579FA">
        <w:rPr>
          <w:rFonts w:ascii="Arial" w:hAnsi="Arial" w:cs="Arial"/>
        </w:rPr>
        <w:t>comprehensi</w:t>
      </w:r>
      <w:r w:rsidR="00332895">
        <w:rPr>
          <w:rFonts w:ascii="Arial" w:hAnsi="Arial" w:cs="Arial"/>
        </w:rPr>
        <w:t>ve support services that the</w:t>
      </w:r>
      <w:r w:rsidR="00F87804">
        <w:rPr>
          <w:rFonts w:ascii="Arial" w:hAnsi="Arial" w:cs="Arial"/>
        </w:rPr>
        <w:t xml:space="preserve"> Office of Clinical Research (OCR)</w:t>
      </w:r>
      <w:r w:rsidR="00332895">
        <w:rPr>
          <w:rFonts w:ascii="Arial" w:hAnsi="Arial" w:cs="Arial"/>
        </w:rPr>
        <w:t xml:space="preserve"> offers to</w:t>
      </w:r>
      <w:r w:rsidR="00A579FA">
        <w:rPr>
          <w:rFonts w:ascii="Arial" w:hAnsi="Arial" w:cs="Arial"/>
        </w:rPr>
        <w:t xml:space="preserve"> i</w:t>
      </w:r>
      <w:r w:rsidR="00BE523A">
        <w:rPr>
          <w:rFonts w:ascii="Arial" w:hAnsi="Arial" w:cs="Arial"/>
        </w:rPr>
        <w:t xml:space="preserve">nvestigators and research personnel </w:t>
      </w:r>
      <w:r w:rsidR="000A09EB">
        <w:rPr>
          <w:rFonts w:ascii="Arial" w:hAnsi="Arial" w:cs="Arial"/>
        </w:rPr>
        <w:t>conduct</w:t>
      </w:r>
      <w:r w:rsidR="00A579FA">
        <w:rPr>
          <w:rFonts w:ascii="Arial" w:hAnsi="Arial" w:cs="Arial"/>
        </w:rPr>
        <w:t xml:space="preserve">ing </w:t>
      </w:r>
      <w:r w:rsidR="0031007C" w:rsidRPr="0031007C">
        <w:rPr>
          <w:rFonts w:ascii="Arial" w:hAnsi="Arial" w:cs="Arial"/>
        </w:rPr>
        <w:t>clini</w:t>
      </w:r>
      <w:r w:rsidR="00332895">
        <w:rPr>
          <w:rFonts w:ascii="Arial" w:hAnsi="Arial" w:cs="Arial"/>
        </w:rPr>
        <w:t xml:space="preserve">cal trials at the </w:t>
      </w:r>
      <w:r w:rsidR="00264EC6">
        <w:rPr>
          <w:rFonts w:ascii="Arial" w:hAnsi="Arial" w:cs="Arial"/>
        </w:rPr>
        <w:t>Clinical Research Center (</w:t>
      </w:r>
      <w:r w:rsidR="00A579FA">
        <w:rPr>
          <w:rFonts w:ascii="Arial" w:hAnsi="Arial" w:cs="Arial"/>
        </w:rPr>
        <w:t>CRC</w:t>
      </w:r>
      <w:r w:rsidR="00264EC6">
        <w:rPr>
          <w:rFonts w:ascii="Arial" w:hAnsi="Arial" w:cs="Arial"/>
        </w:rPr>
        <w:t>)</w:t>
      </w:r>
      <w:r w:rsidR="00A579FA">
        <w:rPr>
          <w:rFonts w:ascii="Arial" w:hAnsi="Arial" w:cs="Arial"/>
        </w:rPr>
        <w:t>.</w:t>
      </w:r>
      <w:r w:rsidRPr="00826D6C">
        <w:rPr>
          <w:rFonts w:ascii="Arial" w:hAnsi="Arial" w:cs="Arial"/>
        </w:rPr>
        <w:tab/>
      </w:r>
    </w:p>
    <w:p w14:paraId="43971873" w14:textId="10BCFAAA" w:rsidR="00826D6C" w:rsidRPr="00826D6C" w:rsidRDefault="002807EB" w:rsidP="00DC72FB">
      <w:pPr>
        <w:tabs>
          <w:tab w:val="left" w:pos="2430"/>
        </w:tabs>
        <w:autoSpaceDE w:val="0"/>
        <w:autoSpaceDN w:val="0"/>
        <w:adjustRightInd w:val="0"/>
        <w:spacing w:after="0" w:line="240" w:lineRule="auto"/>
        <w:rPr>
          <w:rFonts w:ascii="Arial" w:hAnsi="Arial" w:cs="Arial"/>
        </w:rPr>
      </w:pPr>
      <w:r w:rsidRPr="00826D6C">
        <w:rPr>
          <w:rFonts w:ascii="Arial" w:hAnsi="Arial" w:cs="Arial"/>
          <w:b/>
          <w:bCs/>
          <w:spacing w:val="2"/>
          <w:w w:val="103"/>
        </w:rPr>
        <w:t>SCOPE</w:t>
      </w:r>
      <w:r w:rsidRPr="00826D6C">
        <w:rPr>
          <w:rFonts w:ascii="Arial" w:hAnsi="Arial" w:cs="Arial"/>
          <w:b/>
          <w:bCs/>
          <w:w w:val="103"/>
        </w:rPr>
        <w:t>:</w:t>
      </w:r>
      <w:r w:rsidRPr="00826D6C">
        <w:rPr>
          <w:rFonts w:ascii="Arial" w:hAnsi="Arial" w:cs="Arial"/>
        </w:rPr>
        <w:t xml:space="preserve"> </w:t>
      </w:r>
      <w:r w:rsidR="00452F55">
        <w:rPr>
          <w:rFonts w:ascii="Arial" w:hAnsi="Arial" w:cs="Arial"/>
        </w:rPr>
        <w:t xml:space="preserve"> This SOP</w:t>
      </w:r>
      <w:r w:rsidR="00B37204">
        <w:rPr>
          <w:rFonts w:ascii="Arial" w:hAnsi="Arial" w:cs="Arial"/>
        </w:rPr>
        <w:t xml:space="preserve"> applies to OCR personnel who facilitate</w:t>
      </w:r>
      <w:r w:rsidR="00272CCD">
        <w:rPr>
          <w:rFonts w:ascii="Arial" w:hAnsi="Arial" w:cs="Arial"/>
        </w:rPr>
        <w:t xml:space="preserve"> non-f</w:t>
      </w:r>
      <w:r w:rsidR="00386560">
        <w:rPr>
          <w:rFonts w:ascii="Arial" w:hAnsi="Arial" w:cs="Arial"/>
        </w:rPr>
        <w:t>ederally sponsored clinical research projects</w:t>
      </w:r>
      <w:r w:rsidR="004C3DAF">
        <w:rPr>
          <w:rFonts w:ascii="Arial" w:hAnsi="Arial" w:cs="Arial"/>
        </w:rPr>
        <w:t xml:space="preserve"> from inception through completion.</w:t>
      </w:r>
    </w:p>
    <w:p w14:paraId="43971874" w14:textId="77777777" w:rsidR="00DE5E15" w:rsidRDefault="002807EB" w:rsidP="00DC72FB">
      <w:pPr>
        <w:tabs>
          <w:tab w:val="left" w:pos="2430"/>
        </w:tabs>
        <w:autoSpaceDE w:val="0"/>
        <w:autoSpaceDN w:val="0"/>
        <w:adjustRightInd w:val="0"/>
        <w:spacing w:after="0" w:line="240" w:lineRule="auto"/>
        <w:rPr>
          <w:rFonts w:ascii="Arial" w:hAnsi="Arial" w:cs="Arial"/>
        </w:rPr>
      </w:pPr>
      <w:r w:rsidRPr="004C4948">
        <w:rPr>
          <w:rFonts w:ascii="Arial" w:hAnsi="Arial" w:cs="Arial"/>
        </w:rPr>
        <w:tab/>
      </w:r>
    </w:p>
    <w:p w14:paraId="43971875" w14:textId="4DFA4E2D" w:rsidR="001935FE" w:rsidRDefault="002807EB" w:rsidP="00DC72FB">
      <w:pPr>
        <w:tabs>
          <w:tab w:val="left" w:pos="2430"/>
        </w:tabs>
        <w:autoSpaceDE w:val="0"/>
        <w:autoSpaceDN w:val="0"/>
        <w:adjustRightInd w:val="0"/>
        <w:spacing w:after="0" w:line="240" w:lineRule="auto"/>
        <w:rPr>
          <w:rFonts w:ascii="Arial" w:hAnsi="Arial" w:cs="Arial"/>
        </w:rPr>
      </w:pPr>
      <w:r>
        <w:rPr>
          <w:rFonts w:ascii="Arial" w:hAnsi="Arial" w:cs="Arial"/>
          <w:b/>
          <w:bCs/>
          <w:spacing w:val="2"/>
        </w:rPr>
        <w:t>RESPONSIBILIT</w:t>
      </w:r>
      <w:r w:rsidRPr="004C4948">
        <w:rPr>
          <w:rFonts w:ascii="Arial" w:hAnsi="Arial" w:cs="Arial"/>
          <w:b/>
          <w:bCs/>
          <w:spacing w:val="2"/>
        </w:rPr>
        <w:t>Y</w:t>
      </w:r>
      <w:r w:rsidR="004E43E3">
        <w:rPr>
          <w:rFonts w:cs="Arial"/>
          <w:b/>
          <w:bCs/>
          <w:spacing w:val="2"/>
        </w:rPr>
        <w:t>:</w:t>
      </w:r>
      <w:r w:rsidR="00384287" w:rsidRPr="00DE5E15">
        <w:rPr>
          <w:rFonts w:ascii="Arial" w:hAnsi="Arial" w:cs="Arial"/>
        </w:rPr>
        <w:t xml:space="preserve"> </w:t>
      </w:r>
      <w:r w:rsidR="00096014">
        <w:rPr>
          <w:rFonts w:ascii="Arial" w:hAnsi="Arial" w:cs="Arial"/>
        </w:rPr>
        <w:t xml:space="preserve"> </w:t>
      </w:r>
      <w:r w:rsidR="00272CCD">
        <w:rPr>
          <w:rFonts w:ascii="Arial" w:hAnsi="Arial" w:cs="Arial"/>
        </w:rPr>
        <w:t>T</w:t>
      </w:r>
      <w:r w:rsidR="008F1C2C">
        <w:rPr>
          <w:rFonts w:ascii="Arial" w:hAnsi="Arial" w:cs="Arial"/>
        </w:rPr>
        <w:t xml:space="preserve">he OCR is </w:t>
      </w:r>
      <w:r w:rsidR="008F1C2C" w:rsidRPr="00DD3AE2">
        <w:rPr>
          <w:rFonts w:ascii="Arial" w:hAnsi="Arial" w:cs="Arial"/>
        </w:rPr>
        <w:t>responsible for managing non-federal</w:t>
      </w:r>
      <w:r w:rsidR="001123BA">
        <w:rPr>
          <w:rFonts w:ascii="Arial" w:hAnsi="Arial" w:cs="Arial"/>
        </w:rPr>
        <w:t>ly</w:t>
      </w:r>
      <w:r w:rsidR="008F1C2C" w:rsidRPr="00DD3AE2">
        <w:rPr>
          <w:rFonts w:ascii="Arial" w:hAnsi="Arial" w:cs="Arial"/>
        </w:rPr>
        <w:t xml:space="preserve"> sponsored </w:t>
      </w:r>
      <w:r w:rsidR="00096014" w:rsidRPr="00DD3AE2">
        <w:rPr>
          <w:rFonts w:ascii="Arial" w:hAnsi="Arial" w:cs="Arial"/>
        </w:rPr>
        <w:t xml:space="preserve">clinical research </w:t>
      </w:r>
      <w:r w:rsidR="008F1C2C" w:rsidRPr="00DD3AE2">
        <w:rPr>
          <w:rFonts w:ascii="Arial" w:hAnsi="Arial" w:cs="Arial"/>
        </w:rPr>
        <w:t xml:space="preserve">studies for faculty in </w:t>
      </w:r>
      <w:r w:rsidR="00272CCD">
        <w:rPr>
          <w:rFonts w:ascii="Arial" w:hAnsi="Arial" w:cs="Arial"/>
        </w:rPr>
        <w:t xml:space="preserve">the </w:t>
      </w:r>
      <w:r w:rsidR="008F1C2C" w:rsidRPr="00DD3AE2">
        <w:rPr>
          <w:rFonts w:ascii="Arial" w:hAnsi="Arial" w:cs="Arial"/>
        </w:rPr>
        <w:t>USF</w:t>
      </w:r>
      <w:r w:rsidR="001123BA">
        <w:rPr>
          <w:rFonts w:ascii="Arial" w:hAnsi="Arial" w:cs="Arial"/>
        </w:rPr>
        <w:t xml:space="preserve"> Morsani</w:t>
      </w:r>
      <w:r w:rsidR="008F1C2C" w:rsidRPr="00DD3AE2">
        <w:rPr>
          <w:rFonts w:ascii="Arial" w:hAnsi="Arial" w:cs="Arial"/>
        </w:rPr>
        <w:t xml:space="preserve"> College of Medicine</w:t>
      </w:r>
      <w:r w:rsidR="00096014" w:rsidRPr="00DD3AE2">
        <w:rPr>
          <w:rFonts w:ascii="Arial" w:hAnsi="Arial" w:cs="Arial"/>
        </w:rPr>
        <w:t>.</w:t>
      </w:r>
      <w:r w:rsidR="008F1C2C" w:rsidRPr="00DD3AE2">
        <w:rPr>
          <w:rFonts w:ascii="Arial" w:hAnsi="Arial" w:cs="Arial"/>
        </w:rPr>
        <w:t xml:space="preserve"> The OCR is</w:t>
      </w:r>
      <w:r w:rsidR="00272CCD">
        <w:rPr>
          <w:rFonts w:ascii="Arial" w:hAnsi="Arial" w:cs="Arial"/>
        </w:rPr>
        <w:t xml:space="preserve"> comprised of three</w:t>
      </w:r>
      <w:r w:rsidR="008F1C2C" w:rsidRPr="00DD3AE2">
        <w:rPr>
          <w:rFonts w:ascii="Arial" w:hAnsi="Arial" w:cs="Arial"/>
        </w:rPr>
        <w:t xml:space="preserve"> functional areas</w:t>
      </w:r>
      <w:r w:rsidR="00272CCD">
        <w:rPr>
          <w:rFonts w:ascii="Arial" w:hAnsi="Arial" w:cs="Arial"/>
        </w:rPr>
        <w:t xml:space="preserve">; </w:t>
      </w:r>
      <w:r w:rsidR="008F1C2C" w:rsidRPr="00DD3AE2">
        <w:rPr>
          <w:rFonts w:ascii="Arial" w:hAnsi="Arial" w:cs="Arial"/>
        </w:rPr>
        <w:t>clinical services, business operations and fiscal operations.</w:t>
      </w:r>
      <w:r w:rsidR="008F1C2C">
        <w:t xml:space="preserve">  </w:t>
      </w:r>
    </w:p>
    <w:p w14:paraId="43971876" w14:textId="77777777" w:rsidR="002807EB" w:rsidRDefault="002807EB" w:rsidP="00DC72FB">
      <w:pPr>
        <w:autoSpaceDE w:val="0"/>
        <w:autoSpaceDN w:val="0"/>
        <w:adjustRightInd w:val="0"/>
        <w:spacing w:after="0" w:line="240" w:lineRule="auto"/>
        <w:rPr>
          <w:rFonts w:ascii="Arial" w:hAnsi="Arial" w:cs="Arial"/>
        </w:rPr>
      </w:pPr>
    </w:p>
    <w:p w14:paraId="43971877" w14:textId="77777777" w:rsidR="00384287" w:rsidRDefault="002807EB" w:rsidP="00DC72FB">
      <w:pPr>
        <w:autoSpaceDE w:val="0"/>
        <w:autoSpaceDN w:val="0"/>
        <w:adjustRightInd w:val="0"/>
        <w:spacing w:after="0" w:line="240" w:lineRule="auto"/>
        <w:rPr>
          <w:rFonts w:ascii="Arial" w:hAnsi="Arial" w:cs="Arial"/>
        </w:rPr>
      </w:pPr>
      <w:r w:rsidRPr="004C4948">
        <w:rPr>
          <w:rFonts w:ascii="Arial" w:hAnsi="Arial" w:cs="Arial"/>
          <w:b/>
          <w:bCs/>
          <w:spacing w:val="2"/>
          <w:w w:val="103"/>
        </w:rPr>
        <w:t>DEF</w:t>
      </w:r>
      <w:r w:rsidRPr="004C4948">
        <w:rPr>
          <w:rFonts w:ascii="Arial" w:hAnsi="Arial" w:cs="Arial"/>
          <w:b/>
          <w:bCs/>
          <w:spacing w:val="1"/>
          <w:w w:val="103"/>
        </w:rPr>
        <w:t>I</w:t>
      </w:r>
      <w:r w:rsidRPr="004C4948">
        <w:rPr>
          <w:rFonts w:ascii="Arial" w:hAnsi="Arial" w:cs="Arial"/>
          <w:b/>
          <w:bCs/>
          <w:spacing w:val="2"/>
          <w:w w:val="103"/>
        </w:rPr>
        <w:t>N</w:t>
      </w:r>
      <w:r w:rsidRPr="004C4948">
        <w:rPr>
          <w:rFonts w:ascii="Arial" w:hAnsi="Arial" w:cs="Arial"/>
          <w:b/>
          <w:bCs/>
          <w:spacing w:val="1"/>
          <w:w w:val="103"/>
        </w:rPr>
        <w:t>I</w:t>
      </w:r>
      <w:r w:rsidRPr="004C4948">
        <w:rPr>
          <w:rFonts w:ascii="Arial" w:hAnsi="Arial" w:cs="Arial"/>
          <w:b/>
          <w:bCs/>
          <w:spacing w:val="2"/>
          <w:w w:val="103"/>
        </w:rPr>
        <w:t>T</w:t>
      </w:r>
      <w:r w:rsidRPr="004C4948">
        <w:rPr>
          <w:rFonts w:ascii="Arial" w:hAnsi="Arial" w:cs="Arial"/>
          <w:b/>
          <w:bCs/>
          <w:spacing w:val="1"/>
          <w:w w:val="103"/>
        </w:rPr>
        <w:t>I</w:t>
      </w:r>
      <w:r w:rsidRPr="004C4948">
        <w:rPr>
          <w:rFonts w:ascii="Arial" w:hAnsi="Arial" w:cs="Arial"/>
          <w:b/>
          <w:bCs/>
          <w:spacing w:val="3"/>
          <w:w w:val="103"/>
        </w:rPr>
        <w:t>O</w:t>
      </w:r>
      <w:r w:rsidRPr="004C4948">
        <w:rPr>
          <w:rFonts w:ascii="Arial" w:hAnsi="Arial" w:cs="Arial"/>
          <w:b/>
          <w:bCs/>
          <w:spacing w:val="2"/>
          <w:w w:val="103"/>
        </w:rPr>
        <w:t>NS</w:t>
      </w:r>
      <w:r w:rsidRPr="004C4948">
        <w:rPr>
          <w:rFonts w:ascii="Arial" w:hAnsi="Arial" w:cs="Arial"/>
          <w:b/>
          <w:bCs/>
          <w:w w:val="103"/>
        </w:rPr>
        <w:t>:</w:t>
      </w:r>
      <w:r w:rsidRPr="004C4948">
        <w:rPr>
          <w:rFonts w:ascii="Arial" w:hAnsi="Arial" w:cs="Arial"/>
        </w:rPr>
        <w:tab/>
      </w:r>
    </w:p>
    <w:p w14:paraId="43971878" w14:textId="77777777" w:rsidR="003C763A" w:rsidRPr="003C763A" w:rsidRDefault="003C763A" w:rsidP="00DC72FB">
      <w:pPr>
        <w:autoSpaceDE w:val="0"/>
        <w:autoSpaceDN w:val="0"/>
        <w:adjustRightInd w:val="0"/>
        <w:spacing w:after="0" w:line="240" w:lineRule="auto"/>
        <w:rPr>
          <w:rFonts w:ascii="Arial" w:hAnsi="Arial" w:cs="Arial"/>
        </w:rPr>
      </w:pPr>
    </w:p>
    <w:p w14:paraId="43971879" w14:textId="77777777" w:rsidR="003C763A" w:rsidRDefault="003C763A" w:rsidP="00DC72FB">
      <w:pPr>
        <w:autoSpaceDE w:val="0"/>
        <w:autoSpaceDN w:val="0"/>
        <w:adjustRightInd w:val="0"/>
        <w:spacing w:after="0" w:line="240" w:lineRule="auto"/>
        <w:rPr>
          <w:rFonts w:ascii="Arial" w:hAnsi="Arial" w:cs="Arial"/>
        </w:rPr>
      </w:pPr>
      <w:r w:rsidRPr="003C763A">
        <w:rPr>
          <w:rFonts w:ascii="Arial" w:hAnsi="Arial" w:cs="Arial"/>
          <w:b/>
        </w:rPr>
        <w:t>Clinical Trial Agreement (CTA)</w:t>
      </w:r>
      <w:r w:rsidRPr="003E20A5">
        <w:rPr>
          <w:rFonts w:ascii="Arial" w:hAnsi="Arial" w:cs="Arial"/>
        </w:rPr>
        <w:t>: A</w:t>
      </w:r>
      <w:r w:rsidRPr="003E20A5">
        <w:rPr>
          <w:rFonts w:ascii="Arial" w:hAnsi="Arial" w:cs="Arial"/>
          <w:color w:val="333333"/>
        </w:rPr>
        <w:t xml:space="preserve"> contract betwe</w:t>
      </w:r>
      <w:r w:rsidR="003E20A5">
        <w:rPr>
          <w:rFonts w:ascii="Arial" w:hAnsi="Arial" w:cs="Arial"/>
          <w:color w:val="333333"/>
        </w:rPr>
        <w:t>en USF</w:t>
      </w:r>
      <w:r w:rsidRPr="003E20A5">
        <w:rPr>
          <w:rFonts w:ascii="Arial" w:hAnsi="Arial" w:cs="Arial"/>
          <w:color w:val="333333"/>
        </w:rPr>
        <w:t xml:space="preserve"> and the Spo</w:t>
      </w:r>
      <w:r w:rsidR="003E20A5">
        <w:rPr>
          <w:rFonts w:ascii="Arial" w:hAnsi="Arial" w:cs="Arial"/>
          <w:color w:val="333333"/>
        </w:rPr>
        <w:t xml:space="preserve">nsor of a clinical trial that </w:t>
      </w:r>
      <w:r w:rsidRPr="003E20A5">
        <w:rPr>
          <w:rFonts w:ascii="Arial" w:hAnsi="Arial" w:cs="Arial"/>
          <w:color w:val="333333"/>
        </w:rPr>
        <w:t xml:space="preserve">defines the scope of work and formalizes the understandings between the parties and contains legal and financial terms related to the conduct of a clinical trial. </w:t>
      </w:r>
      <w:r w:rsidRPr="003E20A5">
        <w:rPr>
          <w:rFonts w:ascii="Arial" w:hAnsi="Arial" w:cs="Arial"/>
        </w:rPr>
        <w:t>The agreement is signed by the principal investigat</w:t>
      </w:r>
      <w:r w:rsidR="00CD1BBF">
        <w:rPr>
          <w:rFonts w:ascii="Arial" w:hAnsi="Arial" w:cs="Arial"/>
        </w:rPr>
        <w:t>or, a USF Institutional Official (IO)</w:t>
      </w:r>
      <w:r w:rsidR="008D1692" w:rsidRPr="003E20A5">
        <w:rPr>
          <w:rFonts w:ascii="Arial" w:hAnsi="Arial" w:cs="Arial"/>
        </w:rPr>
        <w:t xml:space="preserve">, and the sponsor. </w:t>
      </w:r>
    </w:p>
    <w:p w14:paraId="4397187A" w14:textId="77777777" w:rsidR="008D1692" w:rsidRDefault="008D1692" w:rsidP="00DC72FB">
      <w:pPr>
        <w:autoSpaceDE w:val="0"/>
        <w:autoSpaceDN w:val="0"/>
        <w:adjustRightInd w:val="0"/>
        <w:spacing w:after="0" w:line="240" w:lineRule="auto"/>
        <w:rPr>
          <w:rFonts w:ascii="Arial" w:hAnsi="Arial" w:cs="Arial"/>
        </w:rPr>
      </w:pPr>
    </w:p>
    <w:p w14:paraId="4397187B" w14:textId="2A752582" w:rsidR="000D50F3" w:rsidRDefault="008D1692" w:rsidP="00DC72FB">
      <w:pPr>
        <w:autoSpaceDE w:val="0"/>
        <w:autoSpaceDN w:val="0"/>
        <w:adjustRightInd w:val="0"/>
        <w:spacing w:after="0" w:line="240" w:lineRule="auto"/>
        <w:rPr>
          <w:rFonts w:ascii="Arial" w:hAnsi="Arial" w:cs="Arial"/>
        </w:rPr>
      </w:pPr>
      <w:r w:rsidRPr="008D1692">
        <w:rPr>
          <w:rStyle w:val="research1"/>
          <w:rFonts w:ascii="Arial" w:hAnsi="Arial" w:cs="Arial"/>
          <w:b/>
          <w:sz w:val="22"/>
          <w:szCs w:val="22"/>
        </w:rPr>
        <w:t>Confidentiality Agreement (CDA):</w:t>
      </w:r>
      <w:r>
        <w:rPr>
          <w:rStyle w:val="research1"/>
          <w:rFonts w:ascii="Arial" w:hAnsi="Arial" w:cs="Arial"/>
          <w:sz w:val="22"/>
          <w:szCs w:val="22"/>
        </w:rPr>
        <w:t xml:space="preserve"> </w:t>
      </w:r>
      <w:r w:rsidRPr="008D1692">
        <w:rPr>
          <w:rStyle w:val="research1"/>
          <w:rFonts w:ascii="Arial" w:hAnsi="Arial" w:cs="Arial"/>
          <w:sz w:val="22"/>
          <w:szCs w:val="22"/>
        </w:rPr>
        <w:t xml:space="preserve"> </w:t>
      </w:r>
      <w:r>
        <w:rPr>
          <w:rStyle w:val="research1"/>
          <w:rFonts w:ascii="Arial" w:hAnsi="Arial" w:cs="Arial"/>
          <w:sz w:val="22"/>
          <w:szCs w:val="22"/>
        </w:rPr>
        <w:t>A</w:t>
      </w:r>
      <w:r w:rsidRPr="008D1692">
        <w:rPr>
          <w:rStyle w:val="research1"/>
          <w:rFonts w:ascii="Arial" w:hAnsi="Arial" w:cs="Arial"/>
          <w:sz w:val="22"/>
          <w:szCs w:val="22"/>
        </w:rPr>
        <w:t xml:space="preserve"> legal agreement between at least two parties which outlines information the parties wish to share with one another for certain evaluation purposes, but wish to restrict from wider use and dissemination. The parties agree not to disclose the non-public information covered by the agreement. CDAs are commonly executed when two parties are considering pursing a relationship together and need to understand the other’s processes, methods, or technology solely for the purpose of evaluating the potential for a future relationship.</w:t>
      </w:r>
      <w:r w:rsidR="00615ACC">
        <w:rPr>
          <w:rFonts w:ascii="Arial" w:hAnsi="Arial" w:cs="Arial"/>
        </w:rPr>
        <w:t xml:space="preserve"> </w:t>
      </w:r>
      <w:r w:rsidR="00A31CD8">
        <w:rPr>
          <w:rFonts w:ascii="Arial" w:hAnsi="Arial" w:cs="Arial"/>
        </w:rPr>
        <w:t>It is a</w:t>
      </w:r>
      <w:r w:rsidR="00615ACC">
        <w:rPr>
          <w:rFonts w:ascii="Arial" w:hAnsi="Arial" w:cs="Arial"/>
        </w:rPr>
        <w:t xml:space="preserve">lso </w:t>
      </w:r>
      <w:r w:rsidR="002048D0">
        <w:rPr>
          <w:rFonts w:ascii="Arial" w:hAnsi="Arial" w:cs="Arial"/>
        </w:rPr>
        <w:t xml:space="preserve">referred to as </w:t>
      </w:r>
      <w:r w:rsidR="000D50F3">
        <w:rPr>
          <w:rFonts w:ascii="Arial" w:hAnsi="Arial" w:cs="Arial"/>
        </w:rPr>
        <w:t xml:space="preserve">a </w:t>
      </w:r>
      <w:r w:rsidR="000D50F3">
        <w:rPr>
          <w:rFonts w:ascii="Arial" w:hAnsi="Arial" w:cs="Arial"/>
          <w:b/>
        </w:rPr>
        <w:t>Non</w:t>
      </w:r>
      <w:r w:rsidR="00A31CD8">
        <w:rPr>
          <w:rFonts w:ascii="Arial" w:hAnsi="Arial" w:cs="Arial"/>
          <w:b/>
        </w:rPr>
        <w:t>d</w:t>
      </w:r>
      <w:r w:rsidR="000D50F3">
        <w:rPr>
          <w:rFonts w:ascii="Arial" w:hAnsi="Arial" w:cs="Arial"/>
          <w:b/>
        </w:rPr>
        <w:t>isclosure Agreement (NDA)</w:t>
      </w:r>
      <w:r w:rsidR="000D50F3" w:rsidRPr="000D50F3">
        <w:rPr>
          <w:rFonts w:ascii="Arial" w:hAnsi="Arial" w:cs="Arial"/>
        </w:rPr>
        <w:t>.</w:t>
      </w:r>
    </w:p>
    <w:p w14:paraId="4397187C" w14:textId="77777777" w:rsidR="0058299A" w:rsidRDefault="0058299A" w:rsidP="00800F06">
      <w:pPr>
        <w:autoSpaceDE w:val="0"/>
        <w:autoSpaceDN w:val="0"/>
        <w:adjustRightInd w:val="0"/>
        <w:spacing w:after="0" w:line="240" w:lineRule="auto"/>
        <w:rPr>
          <w:rFonts w:ascii="Arial" w:hAnsi="Arial" w:cs="Arial"/>
        </w:rPr>
      </w:pPr>
    </w:p>
    <w:p w14:paraId="4397187D" w14:textId="26AD5577" w:rsidR="0058299A" w:rsidRDefault="0058299A" w:rsidP="00800F06">
      <w:pPr>
        <w:autoSpaceDE w:val="0"/>
        <w:autoSpaceDN w:val="0"/>
        <w:adjustRightInd w:val="0"/>
        <w:spacing w:after="0" w:line="240" w:lineRule="auto"/>
        <w:rPr>
          <w:rFonts w:ascii="Arial" w:hAnsi="Arial" w:cs="Arial"/>
        </w:rPr>
      </w:pPr>
      <w:r w:rsidRPr="0058299A">
        <w:rPr>
          <w:rFonts w:ascii="Arial" w:hAnsi="Arial" w:cs="Arial"/>
          <w:b/>
        </w:rPr>
        <w:t>FAST</w:t>
      </w:r>
      <w:r w:rsidR="00615ACC">
        <w:rPr>
          <w:rFonts w:ascii="Arial" w:hAnsi="Arial" w:cs="Arial"/>
          <w:b/>
        </w:rPr>
        <w:t xml:space="preserve">: </w:t>
      </w:r>
      <w:r w:rsidR="00615ACC" w:rsidRPr="00615ACC">
        <w:rPr>
          <w:rFonts w:ascii="Arial" w:hAnsi="Arial" w:cs="Arial"/>
        </w:rPr>
        <w:t xml:space="preserve">The </w:t>
      </w:r>
      <w:r w:rsidR="00A31CD8">
        <w:rPr>
          <w:rFonts w:ascii="Arial" w:hAnsi="Arial" w:cs="Arial"/>
        </w:rPr>
        <w:t>F</w:t>
      </w:r>
      <w:r w:rsidR="00615ACC" w:rsidRPr="00615ACC">
        <w:rPr>
          <w:rFonts w:ascii="Arial" w:hAnsi="Arial" w:cs="Arial"/>
        </w:rPr>
        <w:t xml:space="preserve">inancial </w:t>
      </w:r>
      <w:r w:rsidR="00A31CD8">
        <w:rPr>
          <w:rFonts w:ascii="Arial" w:hAnsi="Arial" w:cs="Arial"/>
        </w:rPr>
        <w:t>A</w:t>
      </w:r>
      <w:r w:rsidR="00615ACC" w:rsidRPr="00615ACC">
        <w:rPr>
          <w:rFonts w:ascii="Arial" w:hAnsi="Arial" w:cs="Arial"/>
        </w:rPr>
        <w:t xml:space="preserve">dministration </w:t>
      </w:r>
      <w:r w:rsidR="00A31CD8">
        <w:rPr>
          <w:rFonts w:ascii="Arial" w:hAnsi="Arial" w:cs="Arial"/>
        </w:rPr>
        <w:t>M</w:t>
      </w:r>
      <w:r w:rsidR="00615ACC" w:rsidRPr="00615ACC">
        <w:rPr>
          <w:rFonts w:ascii="Arial" w:hAnsi="Arial" w:cs="Arial"/>
        </w:rPr>
        <w:t xml:space="preserve">anagement </w:t>
      </w:r>
      <w:r w:rsidR="00A31CD8">
        <w:rPr>
          <w:rFonts w:ascii="Arial" w:hAnsi="Arial" w:cs="Arial"/>
        </w:rPr>
        <w:t>S</w:t>
      </w:r>
      <w:r w:rsidR="00615ACC" w:rsidRPr="00615ACC">
        <w:rPr>
          <w:rFonts w:ascii="Arial" w:hAnsi="Arial" w:cs="Arial"/>
        </w:rPr>
        <w:t>ystem for financial transactions at the University of South Florida.</w:t>
      </w:r>
    </w:p>
    <w:p w14:paraId="4397187E" w14:textId="77777777" w:rsidR="008C6FB6" w:rsidRDefault="008C6FB6" w:rsidP="00DC72FB">
      <w:pPr>
        <w:autoSpaceDE w:val="0"/>
        <w:autoSpaceDN w:val="0"/>
        <w:adjustRightInd w:val="0"/>
        <w:spacing w:after="0" w:line="240" w:lineRule="auto"/>
        <w:rPr>
          <w:rFonts w:ascii="Arial" w:hAnsi="Arial" w:cs="Arial"/>
          <w:b/>
        </w:rPr>
      </w:pPr>
    </w:p>
    <w:p w14:paraId="4397187F" w14:textId="1D6DB197" w:rsidR="008C6FB6" w:rsidRPr="0058299A" w:rsidRDefault="008C6FB6" w:rsidP="00DC72FB">
      <w:pPr>
        <w:autoSpaceDE w:val="0"/>
        <w:autoSpaceDN w:val="0"/>
        <w:adjustRightInd w:val="0"/>
        <w:spacing w:after="0" w:line="240" w:lineRule="auto"/>
        <w:rPr>
          <w:rFonts w:ascii="Arial" w:hAnsi="Arial" w:cs="Arial"/>
          <w:b/>
        </w:rPr>
      </w:pPr>
      <w:r>
        <w:rPr>
          <w:rFonts w:ascii="Arial" w:hAnsi="Arial" w:cs="Arial"/>
          <w:b/>
        </w:rPr>
        <w:t xml:space="preserve">Internal Form: </w:t>
      </w:r>
      <w:r w:rsidRPr="008C6FB6">
        <w:rPr>
          <w:rFonts w:ascii="Arial" w:hAnsi="Arial" w:cs="Arial"/>
        </w:rPr>
        <w:t>Form designed to streamline and improve the overall grant submission process</w:t>
      </w:r>
      <w:r w:rsidR="00A31CD8">
        <w:rPr>
          <w:rFonts w:ascii="Arial" w:hAnsi="Arial" w:cs="Arial"/>
        </w:rPr>
        <w:t>; a</w:t>
      </w:r>
      <w:r w:rsidR="008C1FA2" w:rsidRPr="008C6FB6">
        <w:rPr>
          <w:rFonts w:ascii="Arial" w:hAnsi="Arial" w:cs="Arial"/>
        </w:rPr>
        <w:t xml:space="preserve">lso referred to as </w:t>
      </w:r>
      <w:r w:rsidR="008C1FA2" w:rsidRPr="008C1FA2">
        <w:rPr>
          <w:rFonts w:ascii="Arial" w:hAnsi="Arial" w:cs="Arial"/>
          <w:b/>
        </w:rPr>
        <w:t>Electronic Proposal Authorization Form.</w:t>
      </w:r>
    </w:p>
    <w:p w14:paraId="43971880" w14:textId="77777777" w:rsidR="002F5356" w:rsidRPr="002F5356" w:rsidRDefault="002F5356" w:rsidP="00DC72FB">
      <w:p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b/>
          <w:color w:val="000000"/>
        </w:rPr>
        <w:t>Sponsor:</w:t>
      </w:r>
      <w:r>
        <w:rPr>
          <w:rFonts w:ascii="Arial" w:eastAsia="Times New Roman" w:hAnsi="Arial" w:cs="Arial"/>
          <w:color w:val="000000"/>
        </w:rPr>
        <w:t xml:space="preserve"> T</w:t>
      </w:r>
      <w:r w:rsidRPr="002F5356">
        <w:rPr>
          <w:rFonts w:ascii="Arial" w:eastAsia="Times New Roman" w:hAnsi="Arial" w:cs="Arial"/>
          <w:color w:val="000000"/>
        </w:rPr>
        <w:t>he company, institution, indivi</w:t>
      </w:r>
      <w:r>
        <w:rPr>
          <w:rFonts w:ascii="Arial" w:eastAsia="Times New Roman" w:hAnsi="Arial" w:cs="Arial"/>
          <w:color w:val="000000"/>
        </w:rPr>
        <w:t xml:space="preserve">dual donor, or organization </w:t>
      </w:r>
      <w:r w:rsidRPr="002F5356">
        <w:rPr>
          <w:rFonts w:ascii="Arial" w:eastAsia="Times New Roman" w:hAnsi="Arial" w:cs="Arial"/>
          <w:color w:val="000000"/>
        </w:rPr>
        <w:t>responsible for the initiation, management or financing of a research study.</w:t>
      </w:r>
    </w:p>
    <w:p w14:paraId="43971881" w14:textId="01AA27E0" w:rsidR="00516FFB" w:rsidRDefault="002F5356" w:rsidP="00DC72FB">
      <w:pPr>
        <w:spacing w:after="0" w:line="240" w:lineRule="auto"/>
        <w:jc w:val="both"/>
        <w:rPr>
          <w:rFonts w:ascii="Arial" w:eastAsia="Times New Roman" w:hAnsi="Arial" w:cs="Arial"/>
          <w:color w:val="000000"/>
        </w:rPr>
      </w:pPr>
      <w:r>
        <w:rPr>
          <w:rFonts w:ascii="Arial" w:eastAsia="Times New Roman" w:hAnsi="Arial" w:cs="Arial"/>
          <w:b/>
          <w:bCs/>
          <w:iCs/>
          <w:color w:val="000000"/>
        </w:rPr>
        <w:t>Sponsored research:</w:t>
      </w:r>
      <w:r w:rsidR="00556B58">
        <w:rPr>
          <w:rFonts w:ascii="Arial" w:eastAsia="Times New Roman" w:hAnsi="Arial" w:cs="Arial"/>
          <w:b/>
          <w:bCs/>
          <w:iCs/>
          <w:color w:val="000000"/>
        </w:rPr>
        <w:t xml:space="preserve"> </w:t>
      </w:r>
      <w:r>
        <w:rPr>
          <w:rFonts w:ascii="Arial" w:eastAsia="Times New Roman" w:hAnsi="Arial" w:cs="Arial"/>
          <w:bCs/>
          <w:iCs/>
          <w:color w:val="000000"/>
        </w:rPr>
        <w:t>R</w:t>
      </w:r>
      <w:r w:rsidR="00B43850">
        <w:rPr>
          <w:rFonts w:ascii="Arial" w:eastAsia="Times New Roman" w:hAnsi="Arial" w:cs="Arial"/>
          <w:color w:val="000000"/>
        </w:rPr>
        <w:t xml:space="preserve">esearch </w:t>
      </w:r>
      <w:r w:rsidRPr="002F5356">
        <w:rPr>
          <w:rFonts w:ascii="Arial" w:eastAsia="Times New Roman" w:hAnsi="Arial" w:cs="Arial"/>
          <w:color w:val="000000"/>
        </w:rPr>
        <w:t>funded by external entities through a grant or contract that involves a specified statement of work (e.g., the research proposal) with a related tr</w:t>
      </w:r>
      <w:r w:rsidR="00DD3AE2">
        <w:rPr>
          <w:rFonts w:ascii="Arial" w:eastAsia="Times New Roman" w:hAnsi="Arial" w:cs="Arial"/>
          <w:color w:val="000000"/>
        </w:rPr>
        <w:t>ansfer of value to the sponsor</w:t>
      </w:r>
      <w:r w:rsidR="00A31CD8">
        <w:rPr>
          <w:rFonts w:ascii="Arial" w:eastAsia="Times New Roman" w:hAnsi="Arial" w:cs="Arial"/>
          <w:color w:val="000000"/>
        </w:rPr>
        <w:t>.</w:t>
      </w:r>
      <w:r w:rsidR="00DD3AE2">
        <w:rPr>
          <w:rFonts w:ascii="Arial" w:eastAsia="Times New Roman" w:hAnsi="Arial" w:cs="Arial"/>
          <w:color w:val="000000"/>
        </w:rPr>
        <w:t xml:space="preserve"> </w:t>
      </w:r>
      <w:r w:rsidR="00A31CD8">
        <w:rPr>
          <w:rFonts w:ascii="Arial" w:eastAsia="Times New Roman" w:hAnsi="Arial" w:cs="Arial"/>
          <w:color w:val="000000"/>
        </w:rPr>
        <w:t xml:space="preserve">This </w:t>
      </w:r>
      <w:r w:rsidRPr="002F5356">
        <w:rPr>
          <w:rFonts w:ascii="Arial" w:eastAsia="Times New Roman" w:hAnsi="Arial" w:cs="Arial"/>
          <w:color w:val="000000"/>
        </w:rPr>
        <w:t>includ</w:t>
      </w:r>
      <w:r w:rsidR="00A31CD8">
        <w:rPr>
          <w:rFonts w:ascii="Arial" w:eastAsia="Times New Roman" w:hAnsi="Arial" w:cs="Arial"/>
          <w:color w:val="000000"/>
        </w:rPr>
        <w:t>es</w:t>
      </w:r>
      <w:r w:rsidRPr="002F5356">
        <w:rPr>
          <w:rFonts w:ascii="Arial" w:eastAsia="Times New Roman" w:hAnsi="Arial" w:cs="Arial"/>
          <w:color w:val="000000"/>
        </w:rPr>
        <w:t xml:space="preserve"> clinical trials involving investigatio</w:t>
      </w:r>
      <w:r w:rsidR="00B43850">
        <w:rPr>
          <w:rFonts w:ascii="Arial" w:eastAsia="Times New Roman" w:hAnsi="Arial" w:cs="Arial"/>
          <w:color w:val="000000"/>
        </w:rPr>
        <w:t>nal drugs, devices or biologics</w:t>
      </w:r>
      <w:r w:rsidR="002F5EED">
        <w:rPr>
          <w:rFonts w:ascii="Arial" w:eastAsia="Times New Roman" w:hAnsi="Arial" w:cs="Arial"/>
          <w:color w:val="000000"/>
        </w:rPr>
        <w:t>.</w:t>
      </w:r>
    </w:p>
    <w:p w14:paraId="43971882" w14:textId="77777777" w:rsidR="00DD3AE2" w:rsidRPr="00DD3AE2" w:rsidRDefault="00DD3AE2" w:rsidP="00DC72FB">
      <w:pPr>
        <w:spacing w:after="0" w:line="240" w:lineRule="auto"/>
        <w:jc w:val="both"/>
        <w:rPr>
          <w:rFonts w:ascii="Arial" w:eastAsia="Times New Roman" w:hAnsi="Arial" w:cs="Arial"/>
          <w:color w:val="000000"/>
        </w:rPr>
      </w:pPr>
    </w:p>
    <w:p w14:paraId="43971883" w14:textId="77777777" w:rsidR="003E20A5" w:rsidRDefault="003E20A5" w:rsidP="00DC72FB">
      <w:pPr>
        <w:autoSpaceDE w:val="0"/>
        <w:autoSpaceDN w:val="0"/>
        <w:adjustRightInd w:val="0"/>
        <w:spacing w:after="0" w:line="240" w:lineRule="auto"/>
        <w:rPr>
          <w:rFonts w:ascii="Arial" w:hAnsi="Arial" w:cs="Arial"/>
          <w:b/>
        </w:rPr>
      </w:pPr>
    </w:p>
    <w:p w14:paraId="43971884" w14:textId="77777777" w:rsidR="003E20A5" w:rsidRDefault="003E20A5" w:rsidP="00DC72FB">
      <w:pPr>
        <w:autoSpaceDE w:val="0"/>
        <w:autoSpaceDN w:val="0"/>
        <w:adjustRightInd w:val="0"/>
        <w:spacing w:after="0" w:line="240" w:lineRule="auto"/>
        <w:rPr>
          <w:rFonts w:ascii="Arial" w:hAnsi="Arial" w:cs="Arial"/>
          <w:b/>
        </w:rPr>
      </w:pPr>
    </w:p>
    <w:p w14:paraId="61AFE2E4" w14:textId="77777777" w:rsidR="00556B58" w:rsidRDefault="00556B58" w:rsidP="00DD3AE2">
      <w:pPr>
        <w:autoSpaceDE w:val="0"/>
        <w:autoSpaceDN w:val="0"/>
        <w:adjustRightInd w:val="0"/>
        <w:spacing w:after="0" w:line="240" w:lineRule="auto"/>
        <w:ind w:left="-180"/>
        <w:rPr>
          <w:rFonts w:ascii="Arial" w:hAnsi="Arial" w:cs="Arial"/>
          <w:b/>
        </w:rPr>
      </w:pPr>
    </w:p>
    <w:p w14:paraId="70D52D71" w14:textId="77777777" w:rsidR="000D2AA9" w:rsidRDefault="000D2AA9" w:rsidP="00DD3AE2">
      <w:pPr>
        <w:autoSpaceDE w:val="0"/>
        <w:autoSpaceDN w:val="0"/>
        <w:adjustRightInd w:val="0"/>
        <w:spacing w:after="0" w:line="240" w:lineRule="auto"/>
        <w:ind w:left="-180"/>
        <w:rPr>
          <w:rFonts w:ascii="Arial" w:hAnsi="Arial" w:cs="Arial"/>
          <w:b/>
        </w:rPr>
      </w:pPr>
    </w:p>
    <w:p w14:paraId="77C87983" w14:textId="77777777" w:rsidR="002F5EED" w:rsidRDefault="002F5EED" w:rsidP="00DC72FB">
      <w:pPr>
        <w:autoSpaceDE w:val="0"/>
        <w:autoSpaceDN w:val="0"/>
        <w:adjustRightInd w:val="0"/>
        <w:spacing w:after="0" w:line="240" w:lineRule="auto"/>
        <w:ind w:left="-180" w:firstLine="180"/>
        <w:rPr>
          <w:rFonts w:ascii="Arial" w:hAnsi="Arial" w:cs="Arial"/>
          <w:b/>
        </w:rPr>
      </w:pPr>
    </w:p>
    <w:p w14:paraId="43971885" w14:textId="32ADD355" w:rsidR="00593CF2" w:rsidRDefault="00384287" w:rsidP="00DC72FB">
      <w:pPr>
        <w:autoSpaceDE w:val="0"/>
        <w:autoSpaceDN w:val="0"/>
        <w:adjustRightInd w:val="0"/>
        <w:spacing w:after="0" w:line="240" w:lineRule="auto"/>
        <w:ind w:left="-180" w:firstLine="180"/>
        <w:rPr>
          <w:rFonts w:ascii="Arial" w:hAnsi="Arial" w:cs="Arial"/>
          <w:b/>
        </w:rPr>
      </w:pPr>
      <w:r>
        <w:rPr>
          <w:rFonts w:ascii="Arial" w:hAnsi="Arial" w:cs="Arial"/>
          <w:b/>
        </w:rPr>
        <w:t>PROCEDURE</w:t>
      </w:r>
      <w:r w:rsidR="00245AA2">
        <w:rPr>
          <w:rFonts w:ascii="Arial" w:hAnsi="Arial" w:cs="Arial"/>
          <w:b/>
        </w:rPr>
        <w:t>:</w:t>
      </w:r>
    </w:p>
    <w:p w14:paraId="43971886" w14:textId="77777777" w:rsidR="00FF1D38" w:rsidRDefault="00FF1D38" w:rsidP="00DD3AE2">
      <w:pPr>
        <w:autoSpaceDE w:val="0"/>
        <w:autoSpaceDN w:val="0"/>
        <w:adjustRightInd w:val="0"/>
        <w:spacing w:after="0" w:line="240" w:lineRule="auto"/>
        <w:ind w:left="-180"/>
        <w:rPr>
          <w:rFonts w:ascii="Arial" w:hAnsi="Arial" w:cs="Arial"/>
          <w:b/>
        </w:rPr>
      </w:pPr>
    </w:p>
    <w:p w14:paraId="43971887" w14:textId="77777777" w:rsidR="00FF1D38" w:rsidRDefault="00FF1D38" w:rsidP="00DC72FB">
      <w:pPr>
        <w:autoSpaceDE w:val="0"/>
        <w:autoSpaceDN w:val="0"/>
        <w:adjustRightInd w:val="0"/>
        <w:spacing w:after="0" w:line="240" w:lineRule="auto"/>
        <w:ind w:left="-180" w:firstLine="180"/>
        <w:rPr>
          <w:rFonts w:ascii="Arial" w:hAnsi="Arial" w:cs="Arial"/>
          <w:b/>
        </w:rPr>
      </w:pPr>
      <w:r>
        <w:rPr>
          <w:rFonts w:ascii="Arial" w:hAnsi="Arial" w:cs="Arial"/>
          <w:b/>
        </w:rPr>
        <w:t>Pre-Award:</w:t>
      </w:r>
    </w:p>
    <w:p w14:paraId="43971888" w14:textId="77777777" w:rsidR="00CD1BBF" w:rsidRPr="00CD1BBF" w:rsidRDefault="00CD1BBF" w:rsidP="00E146A4">
      <w:pPr>
        <w:autoSpaceDE w:val="0"/>
        <w:autoSpaceDN w:val="0"/>
        <w:adjustRightInd w:val="0"/>
        <w:spacing w:after="0" w:line="240" w:lineRule="auto"/>
        <w:rPr>
          <w:rFonts w:ascii="Arial" w:hAnsi="Arial" w:cs="Arial"/>
        </w:rPr>
      </w:pPr>
    </w:p>
    <w:p w14:paraId="43971889" w14:textId="29E60795" w:rsidR="00C611CA" w:rsidRPr="009326DF" w:rsidRDefault="00386560" w:rsidP="009326DF">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 xml:space="preserve">All </w:t>
      </w:r>
      <w:r w:rsidR="00FC6A68">
        <w:rPr>
          <w:rFonts w:ascii="Arial" w:hAnsi="Arial" w:cs="Arial"/>
        </w:rPr>
        <w:t>CDA/NDA</w:t>
      </w:r>
      <w:r>
        <w:rPr>
          <w:rFonts w:ascii="Arial" w:hAnsi="Arial" w:cs="Arial"/>
        </w:rPr>
        <w:t xml:space="preserve">s received from sponsors/CROs must be submitted to OCR </w:t>
      </w:r>
      <w:r w:rsidR="00CD1BBF">
        <w:rPr>
          <w:rFonts w:ascii="Arial" w:hAnsi="Arial" w:cs="Arial"/>
        </w:rPr>
        <w:t xml:space="preserve">at </w:t>
      </w:r>
      <w:hyperlink r:id="rId11" w:history="1">
        <w:r w:rsidR="009535E9" w:rsidRPr="003523FC">
          <w:rPr>
            <w:rStyle w:val="Hyperlink"/>
            <w:rFonts w:ascii="Arial" w:hAnsi="Arial" w:cs="Arial"/>
          </w:rPr>
          <w:t>OCR@health.usf.edu</w:t>
        </w:r>
      </w:hyperlink>
      <w:r w:rsidR="009535E9">
        <w:rPr>
          <w:rFonts w:ascii="Arial" w:hAnsi="Arial" w:cs="Arial"/>
        </w:rPr>
        <w:t xml:space="preserve"> </w:t>
      </w:r>
      <w:r w:rsidR="00FC6A68">
        <w:rPr>
          <w:rFonts w:ascii="Arial" w:hAnsi="Arial" w:cs="Arial"/>
        </w:rPr>
        <w:t>for timely processing.</w:t>
      </w:r>
    </w:p>
    <w:p w14:paraId="4397188B" w14:textId="4EF7E02F" w:rsidR="009326DF" w:rsidRPr="00C611CA" w:rsidRDefault="009326DF" w:rsidP="009326DF">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 xml:space="preserve">OCR </w:t>
      </w:r>
      <w:r w:rsidR="00386560">
        <w:rPr>
          <w:rFonts w:ascii="Arial" w:hAnsi="Arial" w:cs="Arial"/>
        </w:rPr>
        <w:t>will route the CDA to</w:t>
      </w:r>
      <w:r>
        <w:rPr>
          <w:rFonts w:ascii="Arial" w:hAnsi="Arial" w:cs="Arial"/>
        </w:rPr>
        <w:t xml:space="preserve"> </w:t>
      </w:r>
      <w:r w:rsidR="002F5EED">
        <w:rPr>
          <w:rFonts w:ascii="Arial" w:hAnsi="Arial" w:cs="Arial"/>
        </w:rPr>
        <w:t xml:space="preserve">USF </w:t>
      </w:r>
      <w:r>
        <w:rPr>
          <w:rFonts w:ascii="Arial" w:hAnsi="Arial" w:cs="Arial"/>
        </w:rPr>
        <w:t xml:space="preserve">Patents and Licensing (P&amp;L) for </w:t>
      </w:r>
      <w:r w:rsidR="00386560">
        <w:rPr>
          <w:rFonts w:ascii="Arial" w:hAnsi="Arial" w:cs="Arial"/>
        </w:rPr>
        <w:t>negotiation and execution</w:t>
      </w:r>
      <w:r>
        <w:rPr>
          <w:rFonts w:ascii="Arial" w:hAnsi="Arial" w:cs="Arial"/>
        </w:rPr>
        <w:t>.</w:t>
      </w:r>
    </w:p>
    <w:p w14:paraId="4397188C" w14:textId="16604EA8" w:rsidR="009326DF" w:rsidRDefault="00386560" w:rsidP="00FC6A68">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P&amp;L will distribute the fully executed CDA to the site, the sponsor/ CRO and copy the OCR</w:t>
      </w:r>
      <w:r w:rsidR="002F5EED">
        <w:rPr>
          <w:rFonts w:ascii="Arial" w:hAnsi="Arial" w:cs="Arial"/>
        </w:rPr>
        <w:t>.</w:t>
      </w:r>
    </w:p>
    <w:p w14:paraId="4397188F" w14:textId="587F9031" w:rsidR="000F6777" w:rsidRDefault="00514638" w:rsidP="00D7348D">
      <w:pPr>
        <w:pStyle w:val="ListParagraph"/>
        <w:numPr>
          <w:ilvl w:val="0"/>
          <w:numId w:val="15"/>
        </w:numPr>
        <w:tabs>
          <w:tab w:val="left" w:pos="0"/>
        </w:tabs>
        <w:autoSpaceDE w:val="0"/>
        <w:autoSpaceDN w:val="0"/>
        <w:adjustRightInd w:val="0"/>
        <w:spacing w:after="0" w:line="240" w:lineRule="auto"/>
        <w:rPr>
          <w:rFonts w:ascii="Arial" w:hAnsi="Arial" w:cs="Arial"/>
        </w:rPr>
      </w:pPr>
      <w:r>
        <w:rPr>
          <w:rFonts w:ascii="Arial" w:hAnsi="Arial" w:cs="Arial"/>
        </w:rPr>
        <w:t>If PI decides</w:t>
      </w:r>
      <w:r w:rsidR="000F6777">
        <w:rPr>
          <w:rFonts w:ascii="Arial" w:hAnsi="Arial" w:cs="Arial"/>
        </w:rPr>
        <w:t xml:space="preserve"> to proceed with </w:t>
      </w:r>
      <w:r w:rsidR="001054D6">
        <w:rPr>
          <w:rFonts w:ascii="Arial" w:hAnsi="Arial" w:cs="Arial"/>
        </w:rPr>
        <w:t xml:space="preserve">the </w:t>
      </w:r>
      <w:r w:rsidR="000F6777">
        <w:rPr>
          <w:rFonts w:ascii="Arial" w:hAnsi="Arial" w:cs="Arial"/>
        </w:rPr>
        <w:t>new study, the PI or designee wil</w:t>
      </w:r>
      <w:r w:rsidR="008A55A8">
        <w:rPr>
          <w:rFonts w:ascii="Arial" w:hAnsi="Arial" w:cs="Arial"/>
        </w:rPr>
        <w:t>l submit the following four initial</w:t>
      </w:r>
      <w:r w:rsidR="000F6777">
        <w:rPr>
          <w:rFonts w:ascii="Arial" w:hAnsi="Arial" w:cs="Arial"/>
        </w:rPr>
        <w:t xml:space="preserve"> documents to the OCR:</w:t>
      </w:r>
    </w:p>
    <w:p w14:paraId="43971890" w14:textId="77777777" w:rsidR="000F6777" w:rsidRDefault="000F6777" w:rsidP="007F2869">
      <w:pPr>
        <w:pStyle w:val="ListParagraph"/>
        <w:numPr>
          <w:ilvl w:val="0"/>
          <w:numId w:val="17"/>
        </w:numPr>
        <w:tabs>
          <w:tab w:val="left" w:pos="1800"/>
        </w:tabs>
        <w:autoSpaceDE w:val="0"/>
        <w:autoSpaceDN w:val="0"/>
        <w:adjustRightInd w:val="0"/>
        <w:spacing w:after="0" w:line="240" w:lineRule="auto"/>
        <w:ind w:left="1440" w:firstLine="0"/>
        <w:rPr>
          <w:rFonts w:ascii="Arial" w:hAnsi="Arial" w:cs="Arial"/>
        </w:rPr>
      </w:pPr>
      <w:r>
        <w:rPr>
          <w:rFonts w:ascii="Arial" w:hAnsi="Arial" w:cs="Arial"/>
        </w:rPr>
        <w:t>Protocol</w:t>
      </w:r>
    </w:p>
    <w:p w14:paraId="43971891" w14:textId="77777777" w:rsidR="000F6777" w:rsidRDefault="000F6777" w:rsidP="007F2869">
      <w:pPr>
        <w:pStyle w:val="ListParagraph"/>
        <w:numPr>
          <w:ilvl w:val="0"/>
          <w:numId w:val="17"/>
        </w:numPr>
        <w:tabs>
          <w:tab w:val="left" w:pos="1800"/>
        </w:tabs>
        <w:autoSpaceDE w:val="0"/>
        <w:autoSpaceDN w:val="0"/>
        <w:adjustRightInd w:val="0"/>
        <w:spacing w:after="0" w:line="240" w:lineRule="auto"/>
        <w:ind w:left="1350" w:firstLine="90"/>
        <w:rPr>
          <w:rFonts w:ascii="Arial" w:hAnsi="Arial" w:cs="Arial"/>
        </w:rPr>
      </w:pPr>
      <w:r>
        <w:rPr>
          <w:rFonts w:ascii="Arial" w:hAnsi="Arial" w:cs="Arial"/>
        </w:rPr>
        <w:t>Draft consent form</w:t>
      </w:r>
    </w:p>
    <w:p w14:paraId="43971892" w14:textId="77777777" w:rsidR="000F6777" w:rsidRDefault="000F6777" w:rsidP="007F2869">
      <w:pPr>
        <w:pStyle w:val="ListParagraph"/>
        <w:numPr>
          <w:ilvl w:val="0"/>
          <w:numId w:val="17"/>
        </w:numPr>
        <w:tabs>
          <w:tab w:val="left" w:pos="1800"/>
        </w:tabs>
        <w:autoSpaceDE w:val="0"/>
        <w:autoSpaceDN w:val="0"/>
        <w:adjustRightInd w:val="0"/>
        <w:spacing w:after="0" w:line="240" w:lineRule="auto"/>
        <w:ind w:left="1350" w:firstLine="90"/>
        <w:rPr>
          <w:rFonts w:ascii="Arial" w:hAnsi="Arial" w:cs="Arial"/>
        </w:rPr>
      </w:pPr>
      <w:r>
        <w:rPr>
          <w:rFonts w:ascii="Arial" w:hAnsi="Arial" w:cs="Arial"/>
        </w:rPr>
        <w:t>Draft budget</w:t>
      </w:r>
    </w:p>
    <w:p w14:paraId="43971893" w14:textId="66EEF05D" w:rsidR="000F6777" w:rsidRDefault="002F5EED" w:rsidP="007F2869">
      <w:pPr>
        <w:pStyle w:val="ListParagraph"/>
        <w:numPr>
          <w:ilvl w:val="0"/>
          <w:numId w:val="17"/>
        </w:numPr>
        <w:tabs>
          <w:tab w:val="left" w:pos="1800"/>
        </w:tabs>
        <w:autoSpaceDE w:val="0"/>
        <w:autoSpaceDN w:val="0"/>
        <w:adjustRightInd w:val="0"/>
        <w:spacing w:after="0" w:line="240" w:lineRule="auto"/>
        <w:ind w:left="1350" w:firstLine="90"/>
        <w:rPr>
          <w:rFonts w:ascii="Arial" w:hAnsi="Arial" w:cs="Arial"/>
        </w:rPr>
      </w:pPr>
      <w:r>
        <w:rPr>
          <w:rFonts w:ascii="Arial" w:hAnsi="Arial" w:cs="Arial"/>
        </w:rPr>
        <w:t xml:space="preserve">Draft </w:t>
      </w:r>
      <w:r w:rsidR="000F6777">
        <w:rPr>
          <w:rFonts w:ascii="Arial" w:hAnsi="Arial" w:cs="Arial"/>
        </w:rPr>
        <w:t>C</w:t>
      </w:r>
      <w:r w:rsidR="00514638">
        <w:rPr>
          <w:rFonts w:ascii="Arial" w:hAnsi="Arial" w:cs="Arial"/>
        </w:rPr>
        <w:t>linical Trial Agreement (CTA)</w:t>
      </w:r>
    </w:p>
    <w:p w14:paraId="3C5010BA" w14:textId="5FA5B121" w:rsidR="0084049E" w:rsidRPr="0084049E" w:rsidRDefault="00E146A4" w:rsidP="0084049E">
      <w:pPr>
        <w:pStyle w:val="ListParagraph"/>
        <w:numPr>
          <w:ilvl w:val="0"/>
          <w:numId w:val="15"/>
        </w:numPr>
        <w:tabs>
          <w:tab w:val="left" w:pos="1350"/>
          <w:tab w:val="left" w:pos="1710"/>
        </w:tabs>
        <w:autoSpaceDE w:val="0"/>
        <w:autoSpaceDN w:val="0"/>
        <w:adjustRightInd w:val="0"/>
        <w:spacing w:after="0" w:line="240" w:lineRule="auto"/>
        <w:rPr>
          <w:rFonts w:ascii="Arial" w:hAnsi="Arial" w:cs="Arial"/>
        </w:rPr>
      </w:pPr>
      <w:r>
        <w:rPr>
          <w:rFonts w:ascii="Arial" w:hAnsi="Arial" w:cs="Arial"/>
        </w:rPr>
        <w:t>Study staff should advise sponsor/CRO to send all contract, budget and protoc</w:t>
      </w:r>
      <w:r w:rsidR="002F5EED">
        <w:rPr>
          <w:rFonts w:ascii="Arial" w:hAnsi="Arial" w:cs="Arial"/>
        </w:rPr>
        <w:t xml:space="preserve">ol related correspondence to </w:t>
      </w:r>
      <w:hyperlink r:id="rId12" w:history="1">
        <w:r w:rsidR="002F5EED" w:rsidRPr="002C2B66">
          <w:rPr>
            <w:rStyle w:val="Hyperlink"/>
            <w:rFonts w:ascii="Arial" w:hAnsi="Arial" w:cs="Arial"/>
          </w:rPr>
          <w:t>OCR@health.usf.edu</w:t>
        </w:r>
      </w:hyperlink>
      <w:r w:rsidR="002F5EED">
        <w:rPr>
          <w:rFonts w:ascii="Arial" w:hAnsi="Arial" w:cs="Arial"/>
        </w:rPr>
        <w:t xml:space="preserve"> </w:t>
      </w:r>
    </w:p>
    <w:p w14:paraId="43971895" w14:textId="069E6FAA" w:rsidR="000F6777" w:rsidRDefault="00514638" w:rsidP="000F6777">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Upon</w:t>
      </w:r>
      <w:r w:rsidR="002F5EED">
        <w:rPr>
          <w:rFonts w:ascii="Arial" w:hAnsi="Arial" w:cs="Arial"/>
        </w:rPr>
        <w:t xml:space="preserve"> receipt of the four essential documents</w:t>
      </w:r>
      <w:r w:rsidR="000F6777">
        <w:rPr>
          <w:rFonts w:ascii="Arial" w:hAnsi="Arial" w:cs="Arial"/>
        </w:rPr>
        <w:t xml:space="preserve">, the </w:t>
      </w:r>
      <w:r w:rsidR="00264EC6">
        <w:rPr>
          <w:rFonts w:ascii="Arial" w:hAnsi="Arial" w:cs="Arial"/>
        </w:rPr>
        <w:t>contract and budget process</w:t>
      </w:r>
      <w:r w:rsidR="00E146A4">
        <w:rPr>
          <w:rFonts w:ascii="Arial" w:hAnsi="Arial" w:cs="Arial"/>
        </w:rPr>
        <w:t xml:space="preserve"> will begin</w:t>
      </w:r>
      <w:r w:rsidR="00073A89">
        <w:rPr>
          <w:rFonts w:ascii="Arial" w:hAnsi="Arial" w:cs="Arial"/>
        </w:rPr>
        <w:t>:</w:t>
      </w:r>
    </w:p>
    <w:p w14:paraId="1B2501A2" w14:textId="02C7E68A" w:rsidR="00A21E7B" w:rsidRDefault="00A21E7B" w:rsidP="0084049E">
      <w:pPr>
        <w:pStyle w:val="ListParagraph"/>
        <w:numPr>
          <w:ilvl w:val="1"/>
          <w:numId w:val="15"/>
        </w:numPr>
        <w:tabs>
          <w:tab w:val="left" w:pos="1440"/>
        </w:tabs>
        <w:autoSpaceDE w:val="0"/>
        <w:autoSpaceDN w:val="0"/>
        <w:adjustRightInd w:val="0"/>
        <w:spacing w:after="0" w:line="240" w:lineRule="auto"/>
        <w:rPr>
          <w:rFonts w:ascii="Arial" w:hAnsi="Arial" w:cs="Arial"/>
        </w:rPr>
      </w:pPr>
      <w:r>
        <w:rPr>
          <w:rFonts w:ascii="Arial" w:hAnsi="Arial" w:cs="Arial"/>
        </w:rPr>
        <w:t xml:space="preserve">An </w:t>
      </w:r>
      <w:r w:rsidRPr="0084049E">
        <w:rPr>
          <w:rFonts w:ascii="Arial" w:hAnsi="Arial" w:cs="Arial"/>
        </w:rPr>
        <w:t xml:space="preserve">OCR </w:t>
      </w:r>
      <w:r>
        <w:rPr>
          <w:rFonts w:ascii="Arial" w:hAnsi="Arial" w:cs="Arial"/>
        </w:rPr>
        <w:t>business operations</w:t>
      </w:r>
      <w:r w:rsidRPr="0084049E">
        <w:rPr>
          <w:rFonts w:ascii="Arial" w:hAnsi="Arial" w:cs="Arial"/>
        </w:rPr>
        <w:t xml:space="preserve"> </w:t>
      </w:r>
      <w:r>
        <w:rPr>
          <w:rFonts w:ascii="Arial" w:hAnsi="Arial" w:cs="Arial"/>
        </w:rPr>
        <w:t xml:space="preserve">Contract and Budget Analyst (CBA) will open a study folder in </w:t>
      </w:r>
      <w:r w:rsidR="002B3D25">
        <w:rPr>
          <w:rFonts w:ascii="Arial" w:hAnsi="Arial" w:cs="Arial"/>
        </w:rPr>
        <w:t xml:space="preserve">the </w:t>
      </w:r>
      <w:r>
        <w:rPr>
          <w:rFonts w:ascii="Arial" w:hAnsi="Arial" w:cs="Arial"/>
        </w:rPr>
        <w:t>SharePoint PI Protocol eLibrary and add the study to Intake Tracking.  The CBA will request additional documents if needed.</w:t>
      </w:r>
    </w:p>
    <w:p w14:paraId="3708721D" w14:textId="72EF7B47" w:rsidR="002B3D25" w:rsidRDefault="000E5325" w:rsidP="0084049E">
      <w:pPr>
        <w:pStyle w:val="ListParagraph"/>
        <w:numPr>
          <w:ilvl w:val="1"/>
          <w:numId w:val="15"/>
        </w:numPr>
        <w:tabs>
          <w:tab w:val="left" w:pos="1440"/>
        </w:tabs>
        <w:autoSpaceDE w:val="0"/>
        <w:autoSpaceDN w:val="0"/>
        <w:adjustRightInd w:val="0"/>
        <w:spacing w:after="0" w:line="240" w:lineRule="auto"/>
        <w:rPr>
          <w:rFonts w:ascii="Arial" w:hAnsi="Arial" w:cs="Arial"/>
        </w:rPr>
      </w:pPr>
      <w:r>
        <w:rPr>
          <w:rFonts w:ascii="Arial" w:hAnsi="Arial" w:cs="Arial"/>
        </w:rPr>
        <w:t xml:space="preserve">The </w:t>
      </w:r>
      <w:r w:rsidR="002B3D25">
        <w:rPr>
          <w:rFonts w:ascii="Arial" w:hAnsi="Arial" w:cs="Arial"/>
        </w:rPr>
        <w:t xml:space="preserve">CBA will send the CTA </w:t>
      </w:r>
      <w:r>
        <w:rPr>
          <w:rFonts w:ascii="Arial" w:hAnsi="Arial" w:cs="Arial"/>
        </w:rPr>
        <w:t xml:space="preserve">to P&amp;L for review, will insert USF required language, and will send the edited CTA to USF General Counsel </w:t>
      </w:r>
      <w:r w:rsidR="00264EC6">
        <w:rPr>
          <w:rFonts w:ascii="Arial" w:hAnsi="Arial" w:cs="Arial"/>
        </w:rPr>
        <w:t xml:space="preserve">(GC) </w:t>
      </w:r>
      <w:r>
        <w:rPr>
          <w:rFonts w:ascii="Arial" w:hAnsi="Arial" w:cs="Arial"/>
        </w:rPr>
        <w:t>for legal review.  The OCR CBA will negotiate CTA language with the sponsor until the CTA contains language agreed upon by both parties.</w:t>
      </w:r>
    </w:p>
    <w:p w14:paraId="115E21C1" w14:textId="6341A5CE" w:rsidR="000E5325" w:rsidRDefault="000E5325" w:rsidP="0084049E">
      <w:pPr>
        <w:pStyle w:val="ListParagraph"/>
        <w:numPr>
          <w:ilvl w:val="1"/>
          <w:numId w:val="15"/>
        </w:numPr>
        <w:tabs>
          <w:tab w:val="left" w:pos="1440"/>
        </w:tabs>
        <w:autoSpaceDE w:val="0"/>
        <w:autoSpaceDN w:val="0"/>
        <w:adjustRightInd w:val="0"/>
        <w:spacing w:after="0" w:line="240" w:lineRule="auto"/>
        <w:rPr>
          <w:rFonts w:ascii="Arial" w:hAnsi="Arial" w:cs="Arial"/>
        </w:rPr>
      </w:pPr>
      <w:r>
        <w:rPr>
          <w:rFonts w:ascii="Arial" w:hAnsi="Arial" w:cs="Arial"/>
        </w:rPr>
        <w:t>The CBA will send the Internal Form budget figures to the study team for initiation of the Internal Form.</w:t>
      </w:r>
    </w:p>
    <w:p w14:paraId="3799EE5B" w14:textId="0F5B747B" w:rsidR="0084049E" w:rsidRDefault="00A21E7B" w:rsidP="0084049E">
      <w:pPr>
        <w:pStyle w:val="ListParagraph"/>
        <w:numPr>
          <w:ilvl w:val="1"/>
          <w:numId w:val="15"/>
        </w:numPr>
        <w:tabs>
          <w:tab w:val="left" w:pos="1440"/>
        </w:tabs>
        <w:autoSpaceDE w:val="0"/>
        <w:autoSpaceDN w:val="0"/>
        <w:adjustRightInd w:val="0"/>
        <w:spacing w:after="0" w:line="240" w:lineRule="auto"/>
        <w:rPr>
          <w:rFonts w:ascii="Arial" w:hAnsi="Arial" w:cs="Arial"/>
        </w:rPr>
      </w:pPr>
      <w:r>
        <w:rPr>
          <w:rFonts w:ascii="Arial" w:hAnsi="Arial" w:cs="Arial"/>
        </w:rPr>
        <w:t xml:space="preserve">The CBA will </w:t>
      </w:r>
      <w:r w:rsidR="00046024">
        <w:rPr>
          <w:rFonts w:ascii="Arial" w:hAnsi="Arial" w:cs="Arial"/>
        </w:rPr>
        <w:t xml:space="preserve">review the protocol schedule of events and draft budget and will </w:t>
      </w:r>
      <w:r w:rsidR="002F5EED">
        <w:rPr>
          <w:rFonts w:ascii="Arial" w:hAnsi="Arial" w:cs="Arial"/>
        </w:rPr>
        <w:t>schedule a meeting with the study team to</w:t>
      </w:r>
      <w:r w:rsidR="00D15CB7" w:rsidRPr="0084049E">
        <w:rPr>
          <w:rFonts w:ascii="Arial" w:hAnsi="Arial" w:cs="Arial"/>
        </w:rPr>
        <w:t xml:space="preserve"> </w:t>
      </w:r>
      <w:r w:rsidR="002F5EED">
        <w:rPr>
          <w:rFonts w:ascii="Arial" w:hAnsi="Arial" w:cs="Arial"/>
        </w:rPr>
        <w:t>complete</w:t>
      </w:r>
      <w:r w:rsidR="0084049E" w:rsidRPr="0084049E">
        <w:rPr>
          <w:rFonts w:ascii="Arial" w:hAnsi="Arial" w:cs="Arial"/>
        </w:rPr>
        <w:t xml:space="preserve"> the New </w:t>
      </w:r>
      <w:r w:rsidR="00800F06" w:rsidRPr="0084049E">
        <w:rPr>
          <w:rFonts w:ascii="Arial" w:hAnsi="Arial" w:cs="Arial"/>
        </w:rPr>
        <w:t>Study Questionnaire</w:t>
      </w:r>
      <w:r w:rsidR="00DE6CDB" w:rsidRPr="0084049E">
        <w:rPr>
          <w:rFonts w:ascii="Arial" w:hAnsi="Arial" w:cs="Arial"/>
        </w:rPr>
        <w:t>.</w:t>
      </w:r>
    </w:p>
    <w:p w14:paraId="42904B54" w14:textId="0CE3ED75" w:rsidR="00046024" w:rsidRDefault="00046024" w:rsidP="0084049E">
      <w:pPr>
        <w:pStyle w:val="ListParagraph"/>
        <w:numPr>
          <w:ilvl w:val="1"/>
          <w:numId w:val="15"/>
        </w:numPr>
        <w:tabs>
          <w:tab w:val="left" w:pos="1440"/>
        </w:tabs>
        <w:autoSpaceDE w:val="0"/>
        <w:autoSpaceDN w:val="0"/>
        <w:adjustRightInd w:val="0"/>
        <w:spacing w:after="0" w:line="240" w:lineRule="auto"/>
        <w:rPr>
          <w:rFonts w:ascii="Arial" w:hAnsi="Arial" w:cs="Arial"/>
        </w:rPr>
      </w:pPr>
      <w:r>
        <w:rPr>
          <w:rFonts w:ascii="Arial" w:hAnsi="Arial" w:cs="Arial"/>
        </w:rPr>
        <w:t xml:space="preserve">The CBA will obtain vendor quotes and propose budget to the study team.  The CBA will negotiate the budget with sponsor to agreed-upon terms.  </w:t>
      </w:r>
    </w:p>
    <w:p w14:paraId="1F1946BF" w14:textId="705308A7" w:rsidR="00046024" w:rsidRDefault="00046024" w:rsidP="0084049E">
      <w:pPr>
        <w:pStyle w:val="ListParagraph"/>
        <w:numPr>
          <w:ilvl w:val="1"/>
          <w:numId w:val="15"/>
        </w:numPr>
        <w:tabs>
          <w:tab w:val="left" w:pos="1440"/>
        </w:tabs>
        <w:autoSpaceDE w:val="0"/>
        <w:autoSpaceDN w:val="0"/>
        <w:adjustRightInd w:val="0"/>
        <w:spacing w:after="0" w:line="240" w:lineRule="auto"/>
        <w:rPr>
          <w:rFonts w:ascii="Arial" w:hAnsi="Arial" w:cs="Arial"/>
        </w:rPr>
      </w:pPr>
      <w:r>
        <w:rPr>
          <w:rFonts w:ascii="Arial" w:hAnsi="Arial" w:cs="Arial"/>
        </w:rPr>
        <w:t xml:space="preserve">The CBA will review the IC document to ensure the compensation for subject injury language is in harmony with the CTA and the participant stipend amount is in agreement with the budget prior to the IC being submitted to sponsor by the study team pre-IRB submission.  </w:t>
      </w:r>
    </w:p>
    <w:p w14:paraId="3AE40E30" w14:textId="7519587C" w:rsidR="00264EC6" w:rsidRDefault="00264EC6" w:rsidP="0084049E">
      <w:pPr>
        <w:pStyle w:val="ListParagraph"/>
        <w:numPr>
          <w:ilvl w:val="1"/>
          <w:numId w:val="15"/>
        </w:numPr>
        <w:tabs>
          <w:tab w:val="left" w:pos="1440"/>
        </w:tabs>
        <w:autoSpaceDE w:val="0"/>
        <w:autoSpaceDN w:val="0"/>
        <w:adjustRightInd w:val="0"/>
        <w:spacing w:after="0" w:line="240" w:lineRule="auto"/>
        <w:rPr>
          <w:rFonts w:ascii="Arial" w:hAnsi="Arial" w:cs="Arial"/>
        </w:rPr>
      </w:pPr>
      <w:r>
        <w:rPr>
          <w:rFonts w:ascii="Arial" w:hAnsi="Arial" w:cs="Arial"/>
        </w:rPr>
        <w:t>The CBA will initiate vendor contracts as needed.</w:t>
      </w:r>
    </w:p>
    <w:p w14:paraId="5A010B3F" w14:textId="359D715F" w:rsidR="00264EC6" w:rsidRDefault="00264EC6" w:rsidP="0084049E">
      <w:pPr>
        <w:pStyle w:val="ListParagraph"/>
        <w:numPr>
          <w:ilvl w:val="1"/>
          <w:numId w:val="15"/>
        </w:numPr>
        <w:tabs>
          <w:tab w:val="left" w:pos="1440"/>
        </w:tabs>
        <w:autoSpaceDE w:val="0"/>
        <w:autoSpaceDN w:val="0"/>
        <w:adjustRightInd w:val="0"/>
        <w:spacing w:after="0" w:line="240" w:lineRule="auto"/>
        <w:rPr>
          <w:rFonts w:ascii="Arial" w:hAnsi="Arial" w:cs="Arial"/>
        </w:rPr>
      </w:pPr>
      <w:r>
        <w:rPr>
          <w:rFonts w:ascii="Arial" w:hAnsi="Arial" w:cs="Arial"/>
        </w:rPr>
        <w:t>The CBA will combine the CTA and budget for an executable document.  On receipt of final executable document from sponsor, the CBA will route to USF GC for legal stamp, then to PI, USF Sponsored Research</w:t>
      </w:r>
      <w:r w:rsidR="001343BA">
        <w:rPr>
          <w:rFonts w:ascii="Arial" w:hAnsi="Arial" w:cs="Arial"/>
        </w:rPr>
        <w:t xml:space="preserve"> (SR)</w:t>
      </w:r>
      <w:r>
        <w:rPr>
          <w:rFonts w:ascii="Arial" w:hAnsi="Arial" w:cs="Arial"/>
        </w:rPr>
        <w:t xml:space="preserve">, and sponsor for signature. </w:t>
      </w:r>
    </w:p>
    <w:p w14:paraId="28C796BC" w14:textId="71210522" w:rsidR="00264EC6" w:rsidRDefault="00264EC6" w:rsidP="00264EC6">
      <w:pPr>
        <w:pStyle w:val="ListParagraph"/>
        <w:numPr>
          <w:ilvl w:val="0"/>
          <w:numId w:val="15"/>
        </w:numPr>
        <w:tabs>
          <w:tab w:val="left" w:pos="1440"/>
        </w:tabs>
        <w:autoSpaceDE w:val="0"/>
        <w:autoSpaceDN w:val="0"/>
        <w:adjustRightInd w:val="0"/>
        <w:spacing w:after="0" w:line="240" w:lineRule="auto"/>
        <w:rPr>
          <w:rFonts w:ascii="Arial" w:hAnsi="Arial" w:cs="Arial"/>
        </w:rPr>
      </w:pPr>
      <w:r>
        <w:rPr>
          <w:rFonts w:ascii="Arial" w:hAnsi="Arial" w:cs="Arial"/>
        </w:rPr>
        <w:t>The CBA prepares the GBR.</w:t>
      </w:r>
    </w:p>
    <w:p w14:paraId="50E80BFF" w14:textId="5FF2EF1F" w:rsidR="00264EC6" w:rsidRDefault="00CA5956" w:rsidP="00264EC6">
      <w:pPr>
        <w:pStyle w:val="ListParagraph"/>
        <w:numPr>
          <w:ilvl w:val="0"/>
          <w:numId w:val="15"/>
        </w:numPr>
        <w:tabs>
          <w:tab w:val="left" w:pos="1440"/>
        </w:tabs>
        <w:autoSpaceDE w:val="0"/>
        <w:autoSpaceDN w:val="0"/>
        <w:adjustRightInd w:val="0"/>
        <w:spacing w:after="0" w:line="240" w:lineRule="auto"/>
        <w:rPr>
          <w:rFonts w:ascii="Arial" w:hAnsi="Arial" w:cs="Arial"/>
        </w:rPr>
      </w:pPr>
      <w:r>
        <w:rPr>
          <w:rFonts w:ascii="Arial" w:hAnsi="Arial" w:cs="Arial"/>
        </w:rPr>
        <w:t>On receipt of both the fully executed CTA and IRB initial approval letter t</w:t>
      </w:r>
      <w:r w:rsidR="00264EC6">
        <w:rPr>
          <w:rFonts w:ascii="Arial" w:hAnsi="Arial" w:cs="Arial"/>
        </w:rPr>
        <w:t>he CBA will send the Approval to Enroll (ATE) correspondence</w:t>
      </w:r>
      <w:r>
        <w:rPr>
          <w:rFonts w:ascii="Arial" w:hAnsi="Arial" w:cs="Arial"/>
        </w:rPr>
        <w:t xml:space="preserve"> to the study team and affected departmental staff.</w:t>
      </w:r>
    </w:p>
    <w:p w14:paraId="07F6BE80" w14:textId="7115FF9F" w:rsidR="00CA5956" w:rsidRDefault="00CA5956" w:rsidP="00264EC6">
      <w:pPr>
        <w:pStyle w:val="ListParagraph"/>
        <w:numPr>
          <w:ilvl w:val="0"/>
          <w:numId w:val="15"/>
        </w:numPr>
        <w:tabs>
          <w:tab w:val="left" w:pos="1440"/>
        </w:tabs>
        <w:autoSpaceDE w:val="0"/>
        <w:autoSpaceDN w:val="0"/>
        <w:adjustRightInd w:val="0"/>
        <w:spacing w:after="0" w:line="240" w:lineRule="auto"/>
        <w:rPr>
          <w:rFonts w:ascii="Arial" w:hAnsi="Arial" w:cs="Arial"/>
        </w:rPr>
      </w:pPr>
      <w:r>
        <w:rPr>
          <w:rFonts w:ascii="Arial" w:hAnsi="Arial" w:cs="Arial"/>
        </w:rPr>
        <w:t>The CBA will enter the study in ClinCard Administrative portal</w:t>
      </w:r>
      <w:r w:rsidR="009B6640">
        <w:rPr>
          <w:rFonts w:ascii="Arial" w:hAnsi="Arial" w:cs="Arial"/>
        </w:rPr>
        <w:t>, if applicable</w:t>
      </w:r>
      <w:r>
        <w:rPr>
          <w:rFonts w:ascii="Arial" w:hAnsi="Arial" w:cs="Arial"/>
        </w:rPr>
        <w:t xml:space="preserve">. </w:t>
      </w:r>
    </w:p>
    <w:p w14:paraId="7B2B5B37" w14:textId="349E4D77" w:rsidR="001343BA" w:rsidRDefault="001343BA" w:rsidP="00264EC6">
      <w:pPr>
        <w:pStyle w:val="ListParagraph"/>
        <w:numPr>
          <w:ilvl w:val="0"/>
          <w:numId w:val="15"/>
        </w:numPr>
        <w:tabs>
          <w:tab w:val="left" w:pos="1440"/>
        </w:tabs>
        <w:autoSpaceDE w:val="0"/>
        <w:autoSpaceDN w:val="0"/>
        <w:adjustRightInd w:val="0"/>
        <w:spacing w:after="0" w:line="240" w:lineRule="auto"/>
        <w:rPr>
          <w:rFonts w:ascii="Arial" w:hAnsi="Arial" w:cs="Arial"/>
        </w:rPr>
      </w:pPr>
      <w:r>
        <w:rPr>
          <w:rFonts w:ascii="Arial" w:hAnsi="Arial" w:cs="Arial"/>
        </w:rPr>
        <w:lastRenderedPageBreak/>
        <w:t xml:space="preserve">The CBA will send the project documents to SR to be set up in FAST and the CBA distributes the Research Award Notice (RAN) with the FAST chartfield string to the study team and affected departmental staff.  </w:t>
      </w:r>
    </w:p>
    <w:p w14:paraId="1F8E53FC" w14:textId="2A8E82E1" w:rsidR="000446FF" w:rsidRPr="0084049E" w:rsidRDefault="000446FF" w:rsidP="000446FF">
      <w:pPr>
        <w:pStyle w:val="ListParagraph"/>
        <w:numPr>
          <w:ilvl w:val="0"/>
          <w:numId w:val="15"/>
        </w:numPr>
        <w:tabs>
          <w:tab w:val="left" w:pos="1350"/>
          <w:tab w:val="left" w:pos="1710"/>
        </w:tabs>
        <w:autoSpaceDE w:val="0"/>
        <w:autoSpaceDN w:val="0"/>
        <w:adjustRightInd w:val="0"/>
        <w:spacing w:after="0" w:line="240" w:lineRule="auto"/>
        <w:rPr>
          <w:rFonts w:ascii="Arial" w:hAnsi="Arial" w:cs="Arial"/>
        </w:rPr>
      </w:pPr>
      <w:r>
        <w:rPr>
          <w:rFonts w:ascii="Arial" w:hAnsi="Arial" w:cs="Arial"/>
        </w:rPr>
        <w:t xml:space="preserve">Study staff should advise sponsor/CRO to send any CTA or budget amendments to </w:t>
      </w:r>
      <w:hyperlink r:id="rId13" w:history="1">
        <w:r w:rsidRPr="002C2B66">
          <w:rPr>
            <w:rStyle w:val="Hyperlink"/>
            <w:rFonts w:ascii="Arial" w:hAnsi="Arial" w:cs="Arial"/>
          </w:rPr>
          <w:t>OCR@health.usf.edu</w:t>
        </w:r>
      </w:hyperlink>
      <w:r>
        <w:rPr>
          <w:rFonts w:ascii="Arial" w:hAnsi="Arial" w:cs="Arial"/>
        </w:rPr>
        <w:t xml:space="preserve"> </w:t>
      </w:r>
    </w:p>
    <w:p w14:paraId="439718A1" w14:textId="77777777" w:rsidR="00E146A4" w:rsidRPr="009418BE" w:rsidRDefault="00E146A4" w:rsidP="009418BE">
      <w:pPr>
        <w:autoSpaceDE w:val="0"/>
        <w:autoSpaceDN w:val="0"/>
        <w:adjustRightInd w:val="0"/>
        <w:spacing w:after="0" w:line="240" w:lineRule="auto"/>
        <w:rPr>
          <w:rFonts w:ascii="Arial" w:hAnsi="Arial" w:cs="Arial"/>
        </w:rPr>
      </w:pPr>
    </w:p>
    <w:p w14:paraId="439718B0" w14:textId="77777777" w:rsidR="00FF1D38" w:rsidRDefault="00FF1D38" w:rsidP="009B6640">
      <w:pPr>
        <w:autoSpaceDE w:val="0"/>
        <w:autoSpaceDN w:val="0"/>
        <w:adjustRightInd w:val="0"/>
        <w:spacing w:after="0" w:line="240" w:lineRule="auto"/>
        <w:rPr>
          <w:rFonts w:ascii="Arial" w:hAnsi="Arial" w:cs="Arial"/>
          <w:b/>
        </w:rPr>
      </w:pPr>
      <w:r w:rsidRPr="00FF1D38">
        <w:rPr>
          <w:rFonts w:ascii="Arial" w:hAnsi="Arial" w:cs="Arial"/>
          <w:b/>
        </w:rPr>
        <w:t>Post-Award:</w:t>
      </w:r>
    </w:p>
    <w:p w14:paraId="439718B1" w14:textId="77777777" w:rsidR="008036D1" w:rsidRPr="008036D1" w:rsidRDefault="008036D1" w:rsidP="00FF1D38">
      <w:pPr>
        <w:autoSpaceDE w:val="0"/>
        <w:autoSpaceDN w:val="0"/>
        <w:adjustRightInd w:val="0"/>
        <w:spacing w:after="0" w:line="240" w:lineRule="auto"/>
        <w:rPr>
          <w:rFonts w:ascii="Arial" w:hAnsi="Arial" w:cs="Arial"/>
          <w:b/>
        </w:rPr>
      </w:pPr>
    </w:p>
    <w:p w14:paraId="439718B3" w14:textId="16FAC4F5" w:rsidR="003A575B" w:rsidRPr="00C51814" w:rsidRDefault="00C51814" w:rsidP="00C51814">
      <w:pPr>
        <w:pStyle w:val="ListParagraph"/>
        <w:numPr>
          <w:ilvl w:val="0"/>
          <w:numId w:val="15"/>
        </w:numPr>
        <w:tabs>
          <w:tab w:val="left" w:pos="360"/>
          <w:tab w:val="left" w:pos="540"/>
        </w:tabs>
        <w:autoSpaceDE w:val="0"/>
        <w:autoSpaceDN w:val="0"/>
        <w:adjustRightInd w:val="0"/>
        <w:spacing w:after="0" w:line="240" w:lineRule="auto"/>
        <w:rPr>
          <w:rFonts w:ascii="Arial" w:hAnsi="Arial" w:cs="Arial"/>
          <w:b/>
        </w:rPr>
      </w:pPr>
      <w:r>
        <w:rPr>
          <w:rFonts w:ascii="Arial" w:hAnsi="Arial" w:cs="Arial"/>
        </w:rPr>
        <w:t xml:space="preserve">The </w:t>
      </w:r>
      <w:r w:rsidR="008036D1" w:rsidRPr="008036D1">
        <w:rPr>
          <w:rFonts w:ascii="Arial" w:hAnsi="Arial" w:cs="Arial"/>
        </w:rPr>
        <w:t>OCR</w:t>
      </w:r>
      <w:r>
        <w:rPr>
          <w:rFonts w:ascii="Arial" w:hAnsi="Arial" w:cs="Arial"/>
        </w:rPr>
        <w:t xml:space="preserve"> fiscal operations staff </w:t>
      </w:r>
      <w:r w:rsidRPr="00C51814">
        <w:rPr>
          <w:rFonts w:ascii="Arial" w:hAnsi="Arial" w:cs="Arial"/>
        </w:rPr>
        <w:t>will work with the PI and study teams as necessary regarding the fiscal aspects of the stu</w:t>
      </w:r>
      <w:r>
        <w:rPr>
          <w:rFonts w:ascii="Arial" w:hAnsi="Arial" w:cs="Arial"/>
        </w:rPr>
        <w:t>dies.  They will e</w:t>
      </w:r>
      <w:r w:rsidRPr="00C51814">
        <w:rPr>
          <w:rFonts w:ascii="Arial" w:hAnsi="Arial" w:cs="Arial"/>
        </w:rPr>
        <w:t>nsure that study activity is being accurately entered into CTMS in real time or submitted</w:t>
      </w:r>
      <w:r>
        <w:rPr>
          <w:rFonts w:ascii="Arial" w:hAnsi="Arial" w:cs="Arial"/>
        </w:rPr>
        <w:t xml:space="preserve"> monthly to </w:t>
      </w:r>
      <w:hyperlink r:id="rId14" w:history="1">
        <w:r w:rsidRPr="002C2B66">
          <w:rPr>
            <w:rStyle w:val="Hyperlink"/>
            <w:rFonts w:ascii="Arial" w:hAnsi="Arial" w:cs="Arial"/>
          </w:rPr>
          <w:t>OCRFM@health.usf.edu</w:t>
        </w:r>
      </w:hyperlink>
      <w:r>
        <w:rPr>
          <w:rFonts w:ascii="Arial" w:hAnsi="Arial" w:cs="Arial"/>
        </w:rPr>
        <w:t xml:space="preserve"> </w:t>
      </w:r>
      <w:r w:rsidRPr="00C51814">
        <w:rPr>
          <w:rFonts w:ascii="Arial" w:hAnsi="Arial" w:cs="Arial"/>
        </w:rPr>
        <w:t>via study status logs (SSLs).  CTMS data entry and OCR receipt of the SSLs trigger study related invoicing.</w:t>
      </w:r>
    </w:p>
    <w:p w14:paraId="5FB1A8DD" w14:textId="77777777" w:rsidR="00C51814" w:rsidRDefault="00C51814" w:rsidP="00C51814">
      <w:pPr>
        <w:pStyle w:val="ListParagraph"/>
        <w:numPr>
          <w:ilvl w:val="0"/>
          <w:numId w:val="15"/>
        </w:numPr>
        <w:rPr>
          <w:rFonts w:ascii="Arial" w:hAnsi="Arial" w:cs="Arial"/>
        </w:rPr>
      </w:pPr>
      <w:r w:rsidRPr="00C51814">
        <w:rPr>
          <w:rFonts w:ascii="Arial" w:hAnsi="Arial" w:cs="Arial"/>
        </w:rPr>
        <w:t>The fiscal staff</w:t>
      </w:r>
      <w:r>
        <w:rPr>
          <w:rFonts w:ascii="Arial" w:hAnsi="Arial" w:cs="Arial"/>
        </w:rPr>
        <w:t xml:space="preserve"> </w:t>
      </w:r>
      <w:r w:rsidRPr="00C51814">
        <w:rPr>
          <w:rFonts w:ascii="Arial" w:hAnsi="Arial" w:cs="Arial"/>
        </w:rPr>
        <w:t>will invoice sponsors for all aspects of</w:t>
      </w:r>
      <w:r>
        <w:rPr>
          <w:rFonts w:ascii="Arial" w:hAnsi="Arial" w:cs="Arial"/>
        </w:rPr>
        <w:t xml:space="preserve"> industry sponsored clinical </w:t>
      </w:r>
      <w:r w:rsidRPr="00C51814">
        <w:rPr>
          <w:rFonts w:ascii="Arial" w:hAnsi="Arial" w:cs="Arial"/>
        </w:rPr>
        <w:t xml:space="preserve">trial projects including study startup fees, IRB fees, and other study related costs when invoicing is required per the CTA/budget.  </w:t>
      </w:r>
    </w:p>
    <w:p w14:paraId="295F0E40" w14:textId="2D4D6E73" w:rsidR="00C51814" w:rsidRPr="00C51814" w:rsidRDefault="00C51814" w:rsidP="00C51814">
      <w:pPr>
        <w:pStyle w:val="ListParagraph"/>
        <w:numPr>
          <w:ilvl w:val="0"/>
          <w:numId w:val="15"/>
        </w:numPr>
        <w:rPr>
          <w:rFonts w:ascii="Arial" w:hAnsi="Arial" w:cs="Arial"/>
        </w:rPr>
      </w:pPr>
      <w:r w:rsidRPr="00C51814">
        <w:rPr>
          <w:rFonts w:ascii="Arial" w:hAnsi="Arial" w:cs="Arial"/>
        </w:rPr>
        <w:t xml:space="preserve">OCR fiscal staff will receive payments throughout the lifecycle of the study and post it to the project account.  </w:t>
      </w:r>
    </w:p>
    <w:p w14:paraId="030593C2" w14:textId="2D62B350" w:rsidR="00C51814" w:rsidRDefault="00C51814" w:rsidP="00C51814">
      <w:pPr>
        <w:pStyle w:val="ListParagraph"/>
        <w:numPr>
          <w:ilvl w:val="0"/>
          <w:numId w:val="15"/>
        </w:numPr>
        <w:tabs>
          <w:tab w:val="left" w:pos="360"/>
          <w:tab w:val="left" w:pos="540"/>
        </w:tabs>
        <w:autoSpaceDE w:val="0"/>
        <w:autoSpaceDN w:val="0"/>
        <w:adjustRightInd w:val="0"/>
        <w:spacing w:after="0" w:line="240" w:lineRule="auto"/>
        <w:rPr>
          <w:rFonts w:ascii="Arial" w:hAnsi="Arial" w:cs="Arial"/>
        </w:rPr>
      </w:pPr>
      <w:r>
        <w:rPr>
          <w:rFonts w:ascii="Arial" w:hAnsi="Arial" w:cs="Arial"/>
        </w:rPr>
        <w:t>OCR fiscal staff will track accounts receivable and follow up for outstanding payment.</w:t>
      </w:r>
    </w:p>
    <w:p w14:paraId="0E930AF2" w14:textId="1980C417" w:rsidR="00C51814" w:rsidRDefault="00C51814" w:rsidP="00C51814">
      <w:pPr>
        <w:pStyle w:val="ListParagraph"/>
        <w:numPr>
          <w:ilvl w:val="0"/>
          <w:numId w:val="15"/>
        </w:numPr>
        <w:tabs>
          <w:tab w:val="left" w:pos="360"/>
          <w:tab w:val="left" w:pos="540"/>
        </w:tabs>
        <w:autoSpaceDE w:val="0"/>
        <w:autoSpaceDN w:val="0"/>
        <w:adjustRightInd w:val="0"/>
        <w:spacing w:after="0" w:line="240" w:lineRule="auto"/>
        <w:rPr>
          <w:rFonts w:ascii="Arial" w:hAnsi="Arial" w:cs="Arial"/>
        </w:rPr>
      </w:pPr>
      <w:r>
        <w:rPr>
          <w:rFonts w:ascii="Arial" w:hAnsi="Arial" w:cs="Arial"/>
        </w:rPr>
        <w:t xml:space="preserve">ClinCard fiscal management will be handled by the OCR fiscal staff. </w:t>
      </w:r>
      <w:r w:rsidR="004E2184">
        <w:rPr>
          <w:rFonts w:ascii="Arial" w:hAnsi="Arial" w:cs="Arial"/>
        </w:rPr>
        <w:t>This entai</w:t>
      </w:r>
      <w:r w:rsidR="000478CA">
        <w:rPr>
          <w:rFonts w:ascii="Arial" w:hAnsi="Arial" w:cs="Arial"/>
        </w:rPr>
        <w:t>ls posting patient stipends and load and monthly service fees to the individual projects.</w:t>
      </w:r>
    </w:p>
    <w:p w14:paraId="374498EA" w14:textId="0725CA5F" w:rsidR="00C51814" w:rsidRDefault="00C51814" w:rsidP="00C51814">
      <w:pPr>
        <w:pStyle w:val="ListParagraph"/>
        <w:numPr>
          <w:ilvl w:val="0"/>
          <w:numId w:val="15"/>
        </w:numPr>
        <w:tabs>
          <w:tab w:val="left" w:pos="360"/>
          <w:tab w:val="left" w:pos="540"/>
        </w:tabs>
        <w:autoSpaceDE w:val="0"/>
        <w:autoSpaceDN w:val="0"/>
        <w:adjustRightInd w:val="0"/>
        <w:spacing w:after="0" w:line="240" w:lineRule="auto"/>
        <w:rPr>
          <w:rFonts w:ascii="Arial" w:hAnsi="Arial" w:cs="Arial"/>
        </w:rPr>
      </w:pPr>
      <w:r>
        <w:rPr>
          <w:rFonts w:ascii="Arial" w:hAnsi="Arial" w:cs="Arial"/>
        </w:rPr>
        <w:t>The OCR fiscal team will generate a monthly financial report and distribute to the PI,, affected staff within the department and to certain leadership positions within the Morsani College of Medicine.</w:t>
      </w:r>
    </w:p>
    <w:p w14:paraId="19085518" w14:textId="47A62E34" w:rsidR="00592B9B" w:rsidRDefault="00592B9B" w:rsidP="00C51814">
      <w:pPr>
        <w:pStyle w:val="ListParagraph"/>
        <w:numPr>
          <w:ilvl w:val="0"/>
          <w:numId w:val="15"/>
        </w:numPr>
        <w:tabs>
          <w:tab w:val="left" w:pos="360"/>
          <w:tab w:val="left" w:pos="540"/>
        </w:tabs>
        <w:autoSpaceDE w:val="0"/>
        <w:autoSpaceDN w:val="0"/>
        <w:adjustRightInd w:val="0"/>
        <w:spacing w:after="0" w:line="240" w:lineRule="auto"/>
        <w:rPr>
          <w:rFonts w:ascii="Arial" w:hAnsi="Arial" w:cs="Arial"/>
        </w:rPr>
      </w:pPr>
      <w:r>
        <w:rPr>
          <w:rFonts w:ascii="Arial" w:hAnsi="Arial" w:cs="Arial"/>
        </w:rPr>
        <w:t>OCR fiscal operations will be responsible for calculating and posting F&amp;A (also known as indirects or overhead).</w:t>
      </w:r>
    </w:p>
    <w:p w14:paraId="45AFC6C3" w14:textId="0368F24C" w:rsidR="00592B9B" w:rsidRDefault="00592B9B" w:rsidP="00C51814">
      <w:pPr>
        <w:pStyle w:val="ListParagraph"/>
        <w:numPr>
          <w:ilvl w:val="0"/>
          <w:numId w:val="15"/>
        </w:numPr>
        <w:tabs>
          <w:tab w:val="left" w:pos="360"/>
          <w:tab w:val="left" w:pos="540"/>
        </w:tabs>
        <w:autoSpaceDE w:val="0"/>
        <w:autoSpaceDN w:val="0"/>
        <w:adjustRightInd w:val="0"/>
        <w:spacing w:after="0" w:line="240" w:lineRule="auto"/>
        <w:rPr>
          <w:rFonts w:ascii="Arial" w:hAnsi="Arial" w:cs="Arial"/>
        </w:rPr>
      </w:pPr>
      <w:r>
        <w:rPr>
          <w:rFonts w:ascii="Arial" w:hAnsi="Arial" w:cs="Arial"/>
        </w:rPr>
        <w:t xml:space="preserve">The OCR fiscal operations team is responsible for the closeout process for each study project.  </w:t>
      </w:r>
    </w:p>
    <w:p w14:paraId="1CE393EB" w14:textId="77777777" w:rsidR="00AE4357" w:rsidRPr="00AE4357" w:rsidRDefault="00AE4357" w:rsidP="00AE4357">
      <w:pPr>
        <w:pStyle w:val="ListParagraph"/>
        <w:numPr>
          <w:ilvl w:val="0"/>
          <w:numId w:val="23"/>
        </w:numPr>
        <w:tabs>
          <w:tab w:val="left" w:pos="1350"/>
        </w:tabs>
        <w:autoSpaceDE w:val="0"/>
        <w:autoSpaceDN w:val="0"/>
        <w:adjustRightInd w:val="0"/>
        <w:spacing w:after="0" w:line="240" w:lineRule="auto"/>
        <w:ind w:left="900"/>
        <w:rPr>
          <w:rFonts w:ascii="Arial" w:hAnsi="Arial" w:cs="Arial"/>
          <w:b/>
        </w:rPr>
      </w:pPr>
      <w:r>
        <w:rPr>
          <w:rFonts w:ascii="Arial" w:hAnsi="Arial" w:cs="Arial"/>
        </w:rPr>
        <w:t>T</w:t>
      </w:r>
      <w:r w:rsidRPr="002048D0">
        <w:rPr>
          <w:rFonts w:ascii="Arial" w:hAnsi="Arial" w:cs="Arial"/>
        </w:rPr>
        <w:t xml:space="preserve">o close </w:t>
      </w:r>
      <w:r>
        <w:rPr>
          <w:rFonts w:ascii="Arial" w:hAnsi="Arial" w:cs="Arial"/>
        </w:rPr>
        <w:t xml:space="preserve">out a </w:t>
      </w:r>
      <w:r w:rsidRPr="002048D0">
        <w:rPr>
          <w:rFonts w:ascii="Arial" w:hAnsi="Arial" w:cs="Arial"/>
        </w:rPr>
        <w:t>pr</w:t>
      </w:r>
      <w:r>
        <w:rPr>
          <w:rFonts w:ascii="Arial" w:hAnsi="Arial" w:cs="Arial"/>
        </w:rPr>
        <w:t>oject, OCR will ensure</w:t>
      </w:r>
      <w:r w:rsidRPr="002048D0">
        <w:rPr>
          <w:rFonts w:ascii="Arial" w:hAnsi="Arial" w:cs="Arial"/>
        </w:rPr>
        <w:t xml:space="preserve"> </w:t>
      </w:r>
      <w:r>
        <w:rPr>
          <w:rFonts w:ascii="Arial" w:hAnsi="Arial" w:cs="Arial"/>
        </w:rPr>
        <w:t xml:space="preserve">that </w:t>
      </w:r>
      <w:r w:rsidRPr="002048D0">
        <w:rPr>
          <w:rFonts w:ascii="Arial" w:hAnsi="Arial" w:cs="Arial"/>
        </w:rPr>
        <w:t xml:space="preserve">all expenditures have posted and all earned revenue/payments have been received.  </w:t>
      </w:r>
    </w:p>
    <w:p w14:paraId="6B622D07" w14:textId="668AB342" w:rsidR="00AE4357" w:rsidRPr="00AE4357" w:rsidRDefault="00AE4357" w:rsidP="00AE4357">
      <w:pPr>
        <w:pStyle w:val="ListParagraph"/>
        <w:numPr>
          <w:ilvl w:val="0"/>
          <w:numId w:val="23"/>
        </w:numPr>
        <w:tabs>
          <w:tab w:val="left" w:pos="1350"/>
        </w:tabs>
        <w:autoSpaceDE w:val="0"/>
        <w:autoSpaceDN w:val="0"/>
        <w:adjustRightInd w:val="0"/>
        <w:spacing w:after="0" w:line="240" w:lineRule="auto"/>
        <w:ind w:left="900"/>
        <w:rPr>
          <w:rFonts w:ascii="Arial" w:hAnsi="Arial" w:cs="Arial"/>
          <w:b/>
        </w:rPr>
      </w:pPr>
      <w:r w:rsidRPr="00AE4357">
        <w:rPr>
          <w:rFonts w:ascii="Arial" w:hAnsi="Arial" w:cs="Arial"/>
        </w:rPr>
        <w:t xml:space="preserve">Residuals are rolled into the appropriate Research Initiative Account (RIA).  Research Financial Management (RFM) does an analysis of all open projects that a PI has to ensure other projects are not in deficit prior to rolling residuals over to the appropriate RIA.  </w:t>
      </w:r>
    </w:p>
    <w:p w14:paraId="0073EC19" w14:textId="720BCF27" w:rsidR="00AE4357" w:rsidRDefault="00AE4357" w:rsidP="00C51814">
      <w:pPr>
        <w:pStyle w:val="ListParagraph"/>
        <w:numPr>
          <w:ilvl w:val="0"/>
          <w:numId w:val="15"/>
        </w:numPr>
        <w:tabs>
          <w:tab w:val="left" w:pos="360"/>
          <w:tab w:val="left" w:pos="540"/>
        </w:tabs>
        <w:autoSpaceDE w:val="0"/>
        <w:autoSpaceDN w:val="0"/>
        <w:adjustRightInd w:val="0"/>
        <w:spacing w:after="0" w:line="240" w:lineRule="auto"/>
        <w:rPr>
          <w:rFonts w:ascii="Arial" w:hAnsi="Arial" w:cs="Arial"/>
        </w:rPr>
      </w:pPr>
      <w:r>
        <w:rPr>
          <w:rFonts w:ascii="Arial" w:hAnsi="Arial" w:cs="Arial"/>
        </w:rPr>
        <w:t>OCR fiscal staff will manage all the fiscal aspects of the OCR service fees including:</w:t>
      </w:r>
    </w:p>
    <w:p w14:paraId="439718C0" w14:textId="4A1705C0" w:rsidR="008713E3" w:rsidRPr="00B4577A" w:rsidRDefault="008713E3" w:rsidP="00AE4357">
      <w:pPr>
        <w:pStyle w:val="ListParagraph"/>
        <w:numPr>
          <w:ilvl w:val="0"/>
          <w:numId w:val="25"/>
        </w:numPr>
        <w:autoSpaceDE w:val="0"/>
        <w:autoSpaceDN w:val="0"/>
        <w:adjustRightInd w:val="0"/>
        <w:spacing w:after="0" w:line="240" w:lineRule="auto"/>
        <w:ind w:left="900" w:hanging="270"/>
        <w:rPr>
          <w:rFonts w:ascii="Arial" w:hAnsi="Arial" w:cs="Arial"/>
          <w:b/>
        </w:rPr>
      </w:pPr>
      <w:r w:rsidRPr="00B4577A">
        <w:rPr>
          <w:rFonts w:ascii="Arial" w:hAnsi="Arial" w:cs="Arial"/>
        </w:rPr>
        <w:t>OCR’</w:t>
      </w:r>
      <w:r w:rsidR="00B4577A">
        <w:rPr>
          <w:rFonts w:ascii="Arial" w:hAnsi="Arial" w:cs="Arial"/>
        </w:rPr>
        <w:t xml:space="preserve">s portion of </w:t>
      </w:r>
      <w:r w:rsidR="00AE4357">
        <w:rPr>
          <w:rFonts w:ascii="Arial" w:hAnsi="Arial" w:cs="Arial"/>
        </w:rPr>
        <w:t xml:space="preserve">the </w:t>
      </w:r>
      <w:r w:rsidR="00B4577A">
        <w:rPr>
          <w:rFonts w:ascii="Arial" w:hAnsi="Arial" w:cs="Arial"/>
        </w:rPr>
        <w:t>study startup fees</w:t>
      </w:r>
    </w:p>
    <w:p w14:paraId="439718C1" w14:textId="704476E1" w:rsidR="00B4577A" w:rsidRPr="00B4577A" w:rsidRDefault="00B4577A" w:rsidP="00AE4357">
      <w:pPr>
        <w:pStyle w:val="ListParagraph"/>
        <w:numPr>
          <w:ilvl w:val="0"/>
          <w:numId w:val="25"/>
        </w:numPr>
        <w:autoSpaceDE w:val="0"/>
        <w:autoSpaceDN w:val="0"/>
        <w:adjustRightInd w:val="0"/>
        <w:spacing w:after="0" w:line="240" w:lineRule="auto"/>
        <w:ind w:left="900" w:hanging="270"/>
        <w:rPr>
          <w:rFonts w:ascii="Arial" w:hAnsi="Arial" w:cs="Arial"/>
          <w:b/>
        </w:rPr>
      </w:pPr>
      <w:r>
        <w:rPr>
          <w:rFonts w:ascii="Arial" w:hAnsi="Arial" w:cs="Arial"/>
        </w:rPr>
        <w:t>Nursing service</w:t>
      </w:r>
      <w:r w:rsidR="000E57D2">
        <w:rPr>
          <w:rFonts w:ascii="Arial" w:hAnsi="Arial" w:cs="Arial"/>
        </w:rPr>
        <w:t>s</w:t>
      </w:r>
      <w:r w:rsidR="00AE4357">
        <w:rPr>
          <w:rFonts w:ascii="Arial" w:hAnsi="Arial" w:cs="Arial"/>
        </w:rPr>
        <w:t xml:space="preserve"> fees</w:t>
      </w:r>
    </w:p>
    <w:p w14:paraId="439718C2" w14:textId="0D9197AB" w:rsidR="00B4577A" w:rsidRPr="00B4577A" w:rsidRDefault="00B4577A" w:rsidP="00AE4357">
      <w:pPr>
        <w:pStyle w:val="ListParagraph"/>
        <w:numPr>
          <w:ilvl w:val="0"/>
          <w:numId w:val="25"/>
        </w:numPr>
        <w:autoSpaceDE w:val="0"/>
        <w:autoSpaceDN w:val="0"/>
        <w:adjustRightInd w:val="0"/>
        <w:spacing w:after="0" w:line="240" w:lineRule="auto"/>
        <w:ind w:left="900" w:hanging="270"/>
        <w:rPr>
          <w:rFonts w:ascii="Arial" w:hAnsi="Arial" w:cs="Arial"/>
          <w:b/>
        </w:rPr>
      </w:pPr>
      <w:r>
        <w:rPr>
          <w:rFonts w:ascii="Arial" w:hAnsi="Arial" w:cs="Arial"/>
        </w:rPr>
        <w:t>Regulatory support</w:t>
      </w:r>
      <w:r w:rsidR="00AE4357">
        <w:rPr>
          <w:rFonts w:ascii="Arial" w:hAnsi="Arial" w:cs="Arial"/>
        </w:rPr>
        <w:t xml:space="preserve"> fees</w:t>
      </w:r>
    </w:p>
    <w:p w14:paraId="439718C3" w14:textId="72E93E3F" w:rsidR="00B4577A" w:rsidRPr="00CC334F" w:rsidRDefault="00B4577A" w:rsidP="00AE4357">
      <w:pPr>
        <w:pStyle w:val="ListParagraph"/>
        <w:numPr>
          <w:ilvl w:val="0"/>
          <w:numId w:val="25"/>
        </w:numPr>
        <w:autoSpaceDE w:val="0"/>
        <w:autoSpaceDN w:val="0"/>
        <w:adjustRightInd w:val="0"/>
        <w:spacing w:after="0" w:line="240" w:lineRule="auto"/>
        <w:ind w:left="900" w:hanging="270"/>
        <w:rPr>
          <w:rFonts w:ascii="Arial" w:hAnsi="Arial" w:cs="Arial"/>
          <w:b/>
        </w:rPr>
      </w:pPr>
      <w:r>
        <w:rPr>
          <w:rFonts w:ascii="Arial" w:hAnsi="Arial" w:cs="Arial"/>
        </w:rPr>
        <w:t>Study coordinator support</w:t>
      </w:r>
      <w:r w:rsidR="00AE4357">
        <w:rPr>
          <w:rFonts w:ascii="Arial" w:hAnsi="Arial" w:cs="Arial"/>
        </w:rPr>
        <w:t xml:space="preserve"> fees</w:t>
      </w:r>
    </w:p>
    <w:p w14:paraId="439718DC" w14:textId="77777777" w:rsidR="008B1770" w:rsidRPr="000C7519" w:rsidRDefault="008B1770" w:rsidP="008B1770">
      <w:pPr>
        <w:pStyle w:val="NormalBullet"/>
        <w:numPr>
          <w:ilvl w:val="0"/>
          <w:numId w:val="0"/>
        </w:numPr>
        <w:ind w:left="1860"/>
      </w:pPr>
    </w:p>
    <w:tbl>
      <w:tblPr>
        <w:tblpPr w:leftFromText="180" w:rightFromText="180" w:vertAnchor="text" w:horzAnchor="margin" w:tblpX="10" w:tblpY="53"/>
        <w:tblW w:w="9365" w:type="dxa"/>
        <w:tblLayout w:type="fixed"/>
        <w:tblCellMar>
          <w:left w:w="0" w:type="dxa"/>
          <w:right w:w="0" w:type="dxa"/>
        </w:tblCellMar>
        <w:tblLook w:val="0000" w:firstRow="0" w:lastRow="0" w:firstColumn="0" w:lastColumn="0" w:noHBand="0" w:noVBand="0"/>
      </w:tblPr>
      <w:tblGrid>
        <w:gridCol w:w="2160"/>
        <w:gridCol w:w="7205"/>
      </w:tblGrid>
      <w:tr w:rsidR="009F5C05" w:rsidRPr="00FA6586" w14:paraId="439718E1" w14:textId="77777777" w:rsidTr="00DC72FB">
        <w:trPr>
          <w:trHeight w:hRule="exact" w:val="910"/>
        </w:trPr>
        <w:tc>
          <w:tcPr>
            <w:tcW w:w="2160" w:type="dxa"/>
            <w:tcBorders>
              <w:top w:val="single" w:sz="4" w:space="0" w:color="000000"/>
              <w:left w:val="single" w:sz="4" w:space="0" w:color="000000"/>
              <w:bottom w:val="single" w:sz="4" w:space="0" w:color="000000"/>
              <w:right w:val="single" w:sz="4" w:space="0" w:color="000000"/>
            </w:tcBorders>
          </w:tcPr>
          <w:p w14:paraId="439718DD" w14:textId="77777777" w:rsidR="009F5C05" w:rsidRPr="001A559D" w:rsidRDefault="009F5C05" w:rsidP="00DC72FB">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lastRenderedPageBreak/>
              <w:t>REFERENCES</w:t>
            </w:r>
            <w:r w:rsidRPr="001A559D">
              <w:rPr>
                <w:rFonts w:ascii="Arial" w:hAnsi="Arial" w:cs="Arial"/>
                <w:b/>
                <w:bCs/>
                <w:w w:val="103"/>
              </w:rPr>
              <w:t>:</w:t>
            </w:r>
          </w:p>
        </w:tc>
        <w:tc>
          <w:tcPr>
            <w:tcW w:w="7205" w:type="dxa"/>
            <w:tcBorders>
              <w:top w:val="single" w:sz="4" w:space="0" w:color="000000"/>
              <w:left w:val="single" w:sz="4" w:space="0" w:color="000000"/>
              <w:bottom w:val="single" w:sz="4" w:space="0" w:color="000000"/>
              <w:right w:val="single" w:sz="4" w:space="0" w:color="000000"/>
            </w:tcBorders>
          </w:tcPr>
          <w:p w14:paraId="439718DF" w14:textId="77777777" w:rsidR="00733626" w:rsidRPr="004715E7" w:rsidRDefault="00733626" w:rsidP="00DC72FB">
            <w:pPr>
              <w:autoSpaceDE w:val="0"/>
              <w:autoSpaceDN w:val="0"/>
              <w:adjustRightInd w:val="0"/>
              <w:spacing w:after="0" w:line="240" w:lineRule="auto"/>
              <w:rPr>
                <w:rFonts w:ascii="Arial" w:hAnsi="Arial" w:cs="Arial"/>
                <w:sz w:val="20"/>
                <w:szCs w:val="20"/>
              </w:rPr>
            </w:pPr>
            <w:r w:rsidRPr="004715E7">
              <w:rPr>
                <w:rFonts w:ascii="ArialMT" w:hAnsi="ArialMT" w:cs="ArialMT"/>
                <w:sz w:val="19"/>
                <w:szCs w:val="19"/>
              </w:rPr>
              <w:t>I</w:t>
            </w:r>
            <w:r w:rsidRPr="004715E7">
              <w:rPr>
                <w:rFonts w:ascii="Arial" w:hAnsi="Arial" w:cs="Arial"/>
                <w:sz w:val="20"/>
                <w:szCs w:val="20"/>
              </w:rPr>
              <w:t>CH E6, 2.13 The Principles of ICH GCP</w:t>
            </w:r>
          </w:p>
          <w:p w14:paraId="266470E9" w14:textId="77777777" w:rsidR="000D07DE" w:rsidRPr="004715E7" w:rsidRDefault="00733626" w:rsidP="00DC72FB">
            <w:pPr>
              <w:autoSpaceDE w:val="0"/>
              <w:autoSpaceDN w:val="0"/>
              <w:adjustRightInd w:val="0"/>
              <w:spacing w:before="4" w:after="0" w:line="240" w:lineRule="auto"/>
              <w:ind w:right="-20"/>
              <w:rPr>
                <w:rFonts w:ascii="Arial" w:hAnsi="Arial" w:cs="Arial"/>
                <w:sz w:val="20"/>
                <w:szCs w:val="20"/>
              </w:rPr>
            </w:pPr>
            <w:r w:rsidRPr="004715E7">
              <w:rPr>
                <w:rFonts w:ascii="Arial" w:hAnsi="Arial" w:cs="Arial"/>
                <w:sz w:val="20"/>
                <w:szCs w:val="20"/>
              </w:rPr>
              <w:t>ICH E6, 5.5 Trial Management, Data Handling and Record Keeping</w:t>
            </w:r>
          </w:p>
          <w:p w14:paraId="2BB2862B" w14:textId="70DFD726" w:rsidR="00CC334F" w:rsidRPr="00CC334F" w:rsidRDefault="009826CA" w:rsidP="00DC72FB">
            <w:pPr>
              <w:autoSpaceDE w:val="0"/>
              <w:autoSpaceDN w:val="0"/>
              <w:adjustRightInd w:val="0"/>
              <w:spacing w:before="4" w:after="0" w:line="240" w:lineRule="auto"/>
              <w:ind w:right="-20"/>
              <w:rPr>
                <w:rFonts w:ascii="Arial" w:hAnsi="Arial" w:cs="Arial"/>
                <w:sz w:val="20"/>
                <w:szCs w:val="20"/>
              </w:rPr>
            </w:pPr>
            <w:hyperlink r:id="rId15" w:history="1">
              <w:r w:rsidR="00CC334F" w:rsidRPr="004715E7">
                <w:rPr>
                  <w:rStyle w:val="Hyperlink"/>
                  <w:rFonts w:ascii="Arial" w:hAnsi="Arial" w:cs="Arial"/>
                  <w:sz w:val="20"/>
                  <w:szCs w:val="20"/>
                </w:rPr>
                <w:t>http://health.usf.edu/research/ocr/index.htm</w:t>
              </w:r>
            </w:hyperlink>
          </w:p>
          <w:p w14:paraId="439718E0" w14:textId="6DECACEA" w:rsidR="00CC334F" w:rsidRPr="001A559D" w:rsidRDefault="00CC334F" w:rsidP="00DC72FB">
            <w:pPr>
              <w:autoSpaceDE w:val="0"/>
              <w:autoSpaceDN w:val="0"/>
              <w:adjustRightInd w:val="0"/>
              <w:spacing w:before="4" w:after="0" w:line="240" w:lineRule="auto"/>
              <w:ind w:right="-20"/>
              <w:rPr>
                <w:rFonts w:ascii="Arial" w:hAnsi="Arial" w:cs="Arial"/>
              </w:rPr>
            </w:pPr>
          </w:p>
        </w:tc>
      </w:tr>
      <w:tr w:rsidR="009F5C05" w:rsidRPr="00FA6586" w14:paraId="439718E4" w14:textId="77777777" w:rsidTr="00DC72FB">
        <w:trPr>
          <w:trHeight w:hRule="exact" w:val="265"/>
        </w:trPr>
        <w:tc>
          <w:tcPr>
            <w:tcW w:w="2160" w:type="dxa"/>
            <w:tcBorders>
              <w:top w:val="single" w:sz="4" w:space="0" w:color="000000"/>
              <w:left w:val="single" w:sz="4" w:space="0" w:color="000000"/>
              <w:bottom w:val="single" w:sz="4" w:space="0" w:color="000000"/>
              <w:right w:val="single" w:sz="4" w:space="0" w:color="000000"/>
            </w:tcBorders>
          </w:tcPr>
          <w:p w14:paraId="439718E2" w14:textId="77777777" w:rsidR="009F5C05" w:rsidRPr="001A559D" w:rsidRDefault="009F5C05" w:rsidP="00DC72FB">
            <w:pPr>
              <w:autoSpaceDE w:val="0"/>
              <w:autoSpaceDN w:val="0"/>
              <w:adjustRightInd w:val="0"/>
              <w:spacing w:after="0" w:line="240" w:lineRule="auto"/>
              <w:rPr>
                <w:rFonts w:ascii="Arial" w:hAnsi="Arial" w:cs="Arial"/>
              </w:rPr>
            </w:pPr>
          </w:p>
        </w:tc>
        <w:tc>
          <w:tcPr>
            <w:tcW w:w="7205" w:type="dxa"/>
            <w:tcBorders>
              <w:top w:val="single" w:sz="4" w:space="0" w:color="000000"/>
              <w:left w:val="single" w:sz="4" w:space="0" w:color="000000"/>
              <w:bottom w:val="single" w:sz="4" w:space="0" w:color="000000"/>
              <w:right w:val="single" w:sz="4" w:space="0" w:color="000000"/>
            </w:tcBorders>
          </w:tcPr>
          <w:p w14:paraId="439718E3" w14:textId="77777777" w:rsidR="009F5C05" w:rsidRPr="001A559D" w:rsidRDefault="009F5C05" w:rsidP="00DC72FB">
            <w:pPr>
              <w:autoSpaceDE w:val="0"/>
              <w:autoSpaceDN w:val="0"/>
              <w:adjustRightInd w:val="0"/>
              <w:spacing w:after="0" w:line="240" w:lineRule="auto"/>
              <w:rPr>
                <w:rFonts w:ascii="Arial" w:hAnsi="Arial" w:cs="Arial"/>
              </w:rPr>
            </w:pPr>
          </w:p>
        </w:tc>
      </w:tr>
      <w:tr w:rsidR="009F5C05" w:rsidRPr="00FA6586" w14:paraId="439718E7" w14:textId="77777777" w:rsidTr="00DC72FB">
        <w:trPr>
          <w:trHeight w:hRule="exact" w:val="265"/>
        </w:trPr>
        <w:tc>
          <w:tcPr>
            <w:tcW w:w="2160" w:type="dxa"/>
            <w:tcBorders>
              <w:top w:val="single" w:sz="4" w:space="0" w:color="000000"/>
              <w:left w:val="single" w:sz="4" w:space="0" w:color="000000"/>
              <w:bottom w:val="single" w:sz="4" w:space="0" w:color="000000"/>
              <w:right w:val="single" w:sz="4" w:space="0" w:color="000000"/>
            </w:tcBorders>
          </w:tcPr>
          <w:p w14:paraId="439718E5" w14:textId="53EE8C96" w:rsidR="009F5C05" w:rsidRPr="001A559D" w:rsidRDefault="009F5C05" w:rsidP="00DC72FB">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Pr="001A559D">
              <w:rPr>
                <w:rFonts w:ascii="Arial" w:hAnsi="Arial" w:cs="Arial"/>
                <w:b/>
                <w:bCs/>
                <w:spacing w:val="33"/>
              </w:rPr>
              <w:t xml:space="preserve"> </w:t>
            </w:r>
            <w:r w:rsidR="00784A47">
              <w:rPr>
                <w:rFonts w:ascii="Arial" w:hAnsi="Arial" w:cs="Arial"/>
                <w:b/>
                <w:bCs/>
                <w:spacing w:val="33"/>
              </w:rPr>
              <w:t>PpppP</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7205" w:type="dxa"/>
            <w:tcBorders>
              <w:top w:val="single" w:sz="4" w:space="0" w:color="000000"/>
              <w:left w:val="single" w:sz="4" w:space="0" w:color="000000"/>
              <w:bottom w:val="single" w:sz="4" w:space="0" w:color="000000"/>
              <w:right w:val="single" w:sz="4" w:space="0" w:color="000000"/>
            </w:tcBorders>
          </w:tcPr>
          <w:p w14:paraId="439718E6" w14:textId="77777777" w:rsidR="009F5C05" w:rsidRPr="001A559D" w:rsidRDefault="009F5C05" w:rsidP="00DC72FB">
            <w:pPr>
              <w:autoSpaceDE w:val="0"/>
              <w:autoSpaceDN w:val="0"/>
              <w:adjustRightInd w:val="0"/>
              <w:spacing w:before="4" w:after="0" w:line="240" w:lineRule="auto"/>
              <w:ind w:right="-20"/>
              <w:rPr>
                <w:rFonts w:ascii="Arial" w:hAnsi="Arial" w:cs="Arial"/>
              </w:rPr>
            </w:pPr>
          </w:p>
        </w:tc>
      </w:tr>
      <w:tr w:rsidR="009F5C05" w:rsidRPr="00FA6586" w14:paraId="439718EA" w14:textId="77777777" w:rsidTr="00DC72FB">
        <w:trPr>
          <w:trHeight w:hRule="exact" w:val="220"/>
        </w:trPr>
        <w:tc>
          <w:tcPr>
            <w:tcW w:w="2160" w:type="dxa"/>
            <w:tcBorders>
              <w:top w:val="single" w:sz="4" w:space="0" w:color="000000"/>
              <w:left w:val="single" w:sz="4" w:space="0" w:color="000000"/>
              <w:bottom w:val="single" w:sz="4" w:space="0" w:color="000000"/>
              <w:right w:val="single" w:sz="4" w:space="0" w:color="000000"/>
            </w:tcBorders>
          </w:tcPr>
          <w:p w14:paraId="439718E8" w14:textId="77777777" w:rsidR="009F5C05" w:rsidRPr="001A559D" w:rsidRDefault="009F5C05" w:rsidP="00DC72FB">
            <w:pPr>
              <w:autoSpaceDE w:val="0"/>
              <w:autoSpaceDN w:val="0"/>
              <w:adjustRightInd w:val="0"/>
              <w:spacing w:after="0" w:line="240" w:lineRule="auto"/>
              <w:rPr>
                <w:rFonts w:ascii="Arial" w:hAnsi="Arial" w:cs="Arial"/>
              </w:rPr>
            </w:pPr>
          </w:p>
        </w:tc>
        <w:tc>
          <w:tcPr>
            <w:tcW w:w="7205" w:type="dxa"/>
            <w:tcBorders>
              <w:top w:val="single" w:sz="4" w:space="0" w:color="000000"/>
              <w:left w:val="single" w:sz="4" w:space="0" w:color="000000"/>
              <w:bottom w:val="single" w:sz="4" w:space="0" w:color="000000"/>
              <w:right w:val="single" w:sz="4" w:space="0" w:color="000000"/>
            </w:tcBorders>
          </w:tcPr>
          <w:p w14:paraId="439718E9" w14:textId="77777777" w:rsidR="009F5C05" w:rsidRPr="001A559D" w:rsidRDefault="009F5C05" w:rsidP="00DC72FB">
            <w:pPr>
              <w:autoSpaceDE w:val="0"/>
              <w:autoSpaceDN w:val="0"/>
              <w:adjustRightInd w:val="0"/>
              <w:spacing w:after="0" w:line="240" w:lineRule="auto"/>
              <w:rPr>
                <w:rFonts w:ascii="Arial" w:hAnsi="Arial" w:cs="Arial"/>
              </w:rPr>
            </w:pPr>
          </w:p>
        </w:tc>
      </w:tr>
      <w:tr w:rsidR="009F5C05" w:rsidRPr="00FA6586" w14:paraId="439718ED" w14:textId="77777777" w:rsidTr="0084049E">
        <w:trPr>
          <w:trHeight w:hRule="exact" w:val="577"/>
        </w:trPr>
        <w:tc>
          <w:tcPr>
            <w:tcW w:w="2160" w:type="dxa"/>
            <w:tcBorders>
              <w:top w:val="single" w:sz="4" w:space="0" w:color="000000"/>
              <w:left w:val="single" w:sz="4" w:space="0" w:color="000000"/>
              <w:bottom w:val="single" w:sz="4" w:space="0" w:color="000000"/>
              <w:right w:val="single" w:sz="4" w:space="0" w:color="000000"/>
            </w:tcBorders>
          </w:tcPr>
          <w:p w14:paraId="439718EB" w14:textId="77777777" w:rsidR="009F5C05" w:rsidRPr="001A559D" w:rsidRDefault="009F5C05" w:rsidP="00DC72FB">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7205" w:type="dxa"/>
            <w:tcBorders>
              <w:top w:val="single" w:sz="4" w:space="0" w:color="000000"/>
              <w:left w:val="single" w:sz="4" w:space="0" w:color="000000"/>
              <w:bottom w:val="single" w:sz="4" w:space="0" w:color="000000"/>
              <w:right w:val="single" w:sz="4" w:space="0" w:color="000000"/>
            </w:tcBorders>
          </w:tcPr>
          <w:p w14:paraId="439718EC" w14:textId="1F39CECE" w:rsidR="009F5C05" w:rsidRPr="00F22BAA" w:rsidRDefault="00F34AD4" w:rsidP="004715E7">
            <w:pPr>
              <w:autoSpaceDE w:val="0"/>
              <w:autoSpaceDN w:val="0"/>
              <w:adjustRightInd w:val="0"/>
              <w:spacing w:before="4" w:after="0" w:line="240" w:lineRule="auto"/>
              <w:ind w:right="-20"/>
              <w:rPr>
                <w:rFonts w:ascii="Arial" w:hAnsi="Arial" w:cs="Arial"/>
                <w:sz w:val="20"/>
                <w:szCs w:val="20"/>
              </w:rPr>
            </w:pPr>
            <w:r w:rsidRPr="00F34AD4">
              <w:rPr>
                <w:rFonts w:ascii="Arial" w:hAnsi="Arial" w:cs="Arial"/>
                <w:spacing w:val="2"/>
                <w:w w:val="103"/>
                <w:sz w:val="20"/>
                <w:szCs w:val="20"/>
              </w:rPr>
              <w:t>Appendix F</w:t>
            </w:r>
            <w:r w:rsidR="0084049E" w:rsidRPr="00F34AD4">
              <w:rPr>
                <w:rFonts w:ascii="Arial" w:hAnsi="Arial" w:cs="Arial"/>
                <w:spacing w:val="2"/>
                <w:w w:val="103"/>
                <w:sz w:val="20"/>
                <w:szCs w:val="20"/>
              </w:rPr>
              <w:t>:</w:t>
            </w:r>
            <w:r>
              <w:rPr>
                <w:rFonts w:ascii="Arial" w:hAnsi="Arial" w:cs="Arial"/>
                <w:spacing w:val="2"/>
                <w:w w:val="103"/>
                <w:sz w:val="20"/>
                <w:szCs w:val="20"/>
              </w:rPr>
              <w:t xml:space="preserve"> Intake Flow; Appendix G</w:t>
            </w:r>
            <w:r w:rsidR="000A3408" w:rsidRPr="0084049E">
              <w:rPr>
                <w:rFonts w:ascii="Arial" w:hAnsi="Arial" w:cs="Arial"/>
                <w:spacing w:val="2"/>
                <w:w w:val="103"/>
                <w:sz w:val="20"/>
                <w:szCs w:val="20"/>
              </w:rPr>
              <w:t>: OCR Contract Process Flow</w:t>
            </w:r>
            <w:r w:rsidR="0084049E" w:rsidRPr="0084049E">
              <w:rPr>
                <w:rFonts w:ascii="Arial" w:hAnsi="Arial" w:cs="Arial"/>
                <w:spacing w:val="2"/>
                <w:w w:val="103"/>
                <w:sz w:val="20"/>
                <w:szCs w:val="20"/>
              </w:rPr>
              <w:t xml:space="preserve">; </w:t>
            </w:r>
          </w:p>
        </w:tc>
      </w:tr>
      <w:tr w:rsidR="009F5C05" w:rsidRPr="00FA6586" w14:paraId="439718F0" w14:textId="77777777" w:rsidTr="00DC72FB">
        <w:trPr>
          <w:trHeight w:hRule="exact" w:val="280"/>
        </w:trPr>
        <w:tc>
          <w:tcPr>
            <w:tcW w:w="2160" w:type="dxa"/>
            <w:tcBorders>
              <w:top w:val="single" w:sz="4" w:space="0" w:color="000000"/>
              <w:left w:val="single" w:sz="4" w:space="0" w:color="000000"/>
              <w:bottom w:val="single" w:sz="4" w:space="0" w:color="000000"/>
              <w:right w:val="single" w:sz="4" w:space="0" w:color="000000"/>
            </w:tcBorders>
          </w:tcPr>
          <w:p w14:paraId="439718EE" w14:textId="77777777" w:rsidR="009F5C05" w:rsidRPr="001A559D" w:rsidRDefault="009F5C05" w:rsidP="00DC72FB">
            <w:pPr>
              <w:autoSpaceDE w:val="0"/>
              <w:autoSpaceDN w:val="0"/>
              <w:adjustRightInd w:val="0"/>
              <w:spacing w:after="0" w:line="240" w:lineRule="auto"/>
              <w:rPr>
                <w:rFonts w:ascii="Arial" w:hAnsi="Arial" w:cs="Arial"/>
              </w:rPr>
            </w:pPr>
          </w:p>
        </w:tc>
        <w:tc>
          <w:tcPr>
            <w:tcW w:w="7205" w:type="dxa"/>
            <w:tcBorders>
              <w:top w:val="single" w:sz="4" w:space="0" w:color="000000"/>
              <w:left w:val="single" w:sz="4" w:space="0" w:color="000000"/>
              <w:bottom w:val="single" w:sz="4" w:space="0" w:color="000000"/>
              <w:right w:val="single" w:sz="4" w:space="0" w:color="000000"/>
            </w:tcBorders>
          </w:tcPr>
          <w:p w14:paraId="439718EF" w14:textId="77777777" w:rsidR="009F5C05" w:rsidRPr="001A559D" w:rsidRDefault="009F5C05" w:rsidP="00DC72FB">
            <w:pPr>
              <w:autoSpaceDE w:val="0"/>
              <w:autoSpaceDN w:val="0"/>
              <w:adjustRightInd w:val="0"/>
              <w:spacing w:after="0" w:line="240" w:lineRule="auto"/>
              <w:rPr>
                <w:rFonts w:ascii="Arial" w:hAnsi="Arial" w:cs="Arial"/>
              </w:rPr>
            </w:pPr>
          </w:p>
        </w:tc>
      </w:tr>
      <w:tr w:rsidR="009F5C05" w:rsidRPr="00FA6586" w14:paraId="43971900" w14:textId="77777777" w:rsidTr="00DC72FB">
        <w:trPr>
          <w:trHeight w:hRule="exact" w:val="1687"/>
        </w:trPr>
        <w:tc>
          <w:tcPr>
            <w:tcW w:w="9365" w:type="dxa"/>
            <w:gridSpan w:val="2"/>
            <w:tcBorders>
              <w:top w:val="single" w:sz="4" w:space="0" w:color="000000"/>
              <w:left w:val="single" w:sz="4" w:space="0" w:color="000000"/>
              <w:bottom w:val="single" w:sz="4" w:space="0" w:color="000000"/>
              <w:right w:val="single" w:sz="4" w:space="0" w:color="000000"/>
            </w:tcBorders>
          </w:tcPr>
          <w:p w14:paraId="439718F1" w14:textId="77777777" w:rsidR="009F5C05" w:rsidRDefault="009F5C05" w:rsidP="00DC72FB">
            <w:pPr>
              <w:autoSpaceDE w:val="0"/>
              <w:autoSpaceDN w:val="0"/>
              <w:adjustRightInd w:val="0"/>
              <w:spacing w:after="0" w:line="240" w:lineRule="auto"/>
              <w:ind w:right="-20"/>
              <w:rPr>
                <w:rFonts w:ascii="Arial" w:hAnsi="Arial" w:cs="Arial"/>
                <w:sz w:val="20"/>
                <w:szCs w:val="20"/>
              </w:rPr>
            </w:pPr>
            <w:r w:rsidRPr="00D342C1">
              <w:rPr>
                <w:rFonts w:ascii="Arial" w:hAnsi="Arial" w:cs="Arial"/>
                <w:b/>
              </w:rPr>
              <w:t>REVISION HISTORY:</w:t>
            </w:r>
            <w:r>
              <w:rPr>
                <w:rFonts w:ascii="Arial" w:hAnsi="Arial" w:cs="Arial"/>
                <w:b/>
              </w:rPr>
              <w:t xml:space="preserve"> </w:t>
            </w:r>
            <w:r w:rsidRPr="00D229BE">
              <w:rPr>
                <w:rFonts w:ascii="Arial" w:hAnsi="Arial" w:cs="Arial"/>
                <w:sz w:val="20"/>
                <w:szCs w:val="20"/>
              </w:rPr>
              <w:t>Keep a running history of all revision dates.</w:t>
            </w:r>
          </w:p>
          <w:p w14:paraId="439718F2" w14:textId="77777777" w:rsidR="009F5C05" w:rsidRPr="00433679" w:rsidRDefault="009F5C05" w:rsidP="00DC72FB">
            <w:pPr>
              <w:autoSpaceDE w:val="0"/>
              <w:autoSpaceDN w:val="0"/>
              <w:adjustRightInd w:val="0"/>
              <w:spacing w:after="0" w:line="240" w:lineRule="auto"/>
              <w:ind w:right="-20"/>
              <w:rPr>
                <w:rFonts w:ascii="Arial" w:hAnsi="Arial" w:cs="Arial"/>
              </w:rPr>
            </w:pPr>
          </w:p>
          <w:tbl>
            <w:tblPr>
              <w:tblStyle w:val="TableGrid"/>
              <w:tblW w:w="9804" w:type="dxa"/>
              <w:tblInd w:w="1" w:type="dxa"/>
              <w:tblLayout w:type="fixed"/>
              <w:tblLook w:val="04A0" w:firstRow="1" w:lastRow="0" w:firstColumn="1" w:lastColumn="0" w:noHBand="0" w:noVBand="1"/>
            </w:tblPr>
            <w:tblGrid>
              <w:gridCol w:w="3164"/>
              <w:gridCol w:w="3164"/>
              <w:gridCol w:w="3476"/>
            </w:tblGrid>
            <w:tr w:rsidR="009F5C05" w14:paraId="439718F6" w14:textId="77777777" w:rsidTr="00CC334F">
              <w:trPr>
                <w:trHeight w:val="309"/>
              </w:trPr>
              <w:tc>
                <w:tcPr>
                  <w:tcW w:w="3164" w:type="dxa"/>
                </w:tcPr>
                <w:p w14:paraId="439718F3" w14:textId="77777777" w:rsidR="009F5C05" w:rsidRDefault="009F5C05" w:rsidP="00C3149C">
                  <w:pPr>
                    <w:framePr w:hSpace="180" w:wrap="around" w:vAnchor="text" w:hAnchor="margin" w:x="10" w:y="53"/>
                    <w:autoSpaceDE w:val="0"/>
                    <w:autoSpaceDN w:val="0"/>
                    <w:adjustRightInd w:val="0"/>
                    <w:ind w:left="-113" w:right="-20"/>
                    <w:rPr>
                      <w:rFonts w:ascii="Arial" w:hAnsi="Arial" w:cs="Arial"/>
                      <w:b/>
                    </w:rPr>
                  </w:pPr>
                  <w:r>
                    <w:rPr>
                      <w:rFonts w:ascii="Arial" w:hAnsi="Arial" w:cs="Arial"/>
                      <w:b/>
                    </w:rPr>
                    <w:t>Approval Date</w:t>
                  </w:r>
                </w:p>
              </w:tc>
              <w:tc>
                <w:tcPr>
                  <w:tcW w:w="3164" w:type="dxa"/>
                </w:tcPr>
                <w:p w14:paraId="439718F4" w14:textId="77777777" w:rsidR="009F5C05" w:rsidRDefault="009F5C05" w:rsidP="00C3149C">
                  <w:pPr>
                    <w:framePr w:hSpace="180" w:wrap="around" w:vAnchor="text" w:hAnchor="margin" w:x="10" w:y="53"/>
                    <w:autoSpaceDE w:val="0"/>
                    <w:autoSpaceDN w:val="0"/>
                    <w:adjustRightInd w:val="0"/>
                    <w:ind w:right="-20"/>
                    <w:rPr>
                      <w:rFonts w:ascii="Arial" w:hAnsi="Arial" w:cs="Arial"/>
                      <w:b/>
                    </w:rPr>
                  </w:pPr>
                  <w:r>
                    <w:rPr>
                      <w:rFonts w:ascii="Arial" w:hAnsi="Arial" w:cs="Arial"/>
                      <w:b/>
                    </w:rPr>
                    <w:t xml:space="preserve">           Effective Date</w:t>
                  </w:r>
                </w:p>
              </w:tc>
              <w:tc>
                <w:tcPr>
                  <w:tcW w:w="3476" w:type="dxa"/>
                </w:tcPr>
                <w:p w14:paraId="439718F5" w14:textId="77777777" w:rsidR="009F5C05" w:rsidRDefault="009F5C05" w:rsidP="00C3149C">
                  <w:pPr>
                    <w:framePr w:hSpace="180" w:wrap="around" w:vAnchor="text" w:hAnchor="margin" w:x="10" w:y="53"/>
                    <w:autoSpaceDE w:val="0"/>
                    <w:autoSpaceDN w:val="0"/>
                    <w:adjustRightInd w:val="0"/>
                    <w:ind w:right="-20"/>
                    <w:rPr>
                      <w:rFonts w:ascii="Arial" w:hAnsi="Arial" w:cs="Arial"/>
                      <w:b/>
                    </w:rPr>
                  </w:pPr>
                  <w:r>
                    <w:rPr>
                      <w:rFonts w:ascii="Arial" w:hAnsi="Arial" w:cs="Arial"/>
                      <w:b/>
                    </w:rPr>
                    <w:t>Review/Revision Date</w:t>
                  </w:r>
                </w:p>
              </w:tc>
            </w:tr>
            <w:tr w:rsidR="009F5C05" w14:paraId="439718FA" w14:textId="77777777" w:rsidTr="00CC334F">
              <w:trPr>
                <w:trHeight w:val="279"/>
              </w:trPr>
              <w:tc>
                <w:tcPr>
                  <w:tcW w:w="3164" w:type="dxa"/>
                </w:tcPr>
                <w:p w14:paraId="439718F7" w14:textId="1B7AD902" w:rsidR="009F5C05" w:rsidRDefault="004715E7" w:rsidP="00C3149C">
                  <w:pPr>
                    <w:framePr w:hSpace="180" w:wrap="around" w:vAnchor="text" w:hAnchor="margin" w:x="10" w:y="53"/>
                    <w:autoSpaceDE w:val="0"/>
                    <w:autoSpaceDN w:val="0"/>
                    <w:adjustRightInd w:val="0"/>
                    <w:ind w:right="-20"/>
                    <w:rPr>
                      <w:rFonts w:ascii="Arial" w:hAnsi="Arial" w:cs="Arial"/>
                      <w:b/>
                    </w:rPr>
                  </w:pPr>
                  <w:r>
                    <w:rPr>
                      <w:rFonts w:ascii="Arial" w:hAnsi="Arial" w:cs="Arial"/>
                      <w:b/>
                    </w:rPr>
                    <w:t>01/01/2015</w:t>
                  </w:r>
                </w:p>
              </w:tc>
              <w:tc>
                <w:tcPr>
                  <w:tcW w:w="3164" w:type="dxa"/>
                </w:tcPr>
                <w:p w14:paraId="439718F8" w14:textId="27ECAF30" w:rsidR="009F5C05" w:rsidRDefault="000D2AA9" w:rsidP="00C3149C">
                  <w:pPr>
                    <w:framePr w:hSpace="180" w:wrap="around" w:vAnchor="text" w:hAnchor="margin" w:x="10" w:y="53"/>
                    <w:autoSpaceDE w:val="0"/>
                    <w:autoSpaceDN w:val="0"/>
                    <w:adjustRightInd w:val="0"/>
                    <w:ind w:right="-20"/>
                    <w:rPr>
                      <w:rFonts w:ascii="Arial" w:hAnsi="Arial" w:cs="Arial"/>
                      <w:b/>
                    </w:rPr>
                  </w:pPr>
                  <w:r>
                    <w:rPr>
                      <w:rFonts w:ascii="Arial" w:hAnsi="Arial" w:cs="Arial"/>
                      <w:b/>
                    </w:rPr>
                    <w:t>06</w:t>
                  </w:r>
                  <w:r w:rsidR="004715E7">
                    <w:rPr>
                      <w:rFonts w:ascii="Arial" w:hAnsi="Arial" w:cs="Arial"/>
                      <w:b/>
                    </w:rPr>
                    <w:t>/01/2015</w:t>
                  </w:r>
                </w:p>
              </w:tc>
              <w:tc>
                <w:tcPr>
                  <w:tcW w:w="3476" w:type="dxa"/>
                </w:tcPr>
                <w:p w14:paraId="439718F9" w14:textId="0CB758C5" w:rsidR="009F5C05" w:rsidRDefault="000D2AA9" w:rsidP="00C3149C">
                  <w:pPr>
                    <w:framePr w:hSpace="180" w:wrap="around" w:vAnchor="text" w:hAnchor="margin" w:x="10" w:y="53"/>
                    <w:autoSpaceDE w:val="0"/>
                    <w:autoSpaceDN w:val="0"/>
                    <w:adjustRightInd w:val="0"/>
                    <w:ind w:right="-20"/>
                    <w:rPr>
                      <w:rFonts w:ascii="Arial" w:hAnsi="Arial" w:cs="Arial"/>
                      <w:b/>
                    </w:rPr>
                  </w:pPr>
                  <w:r>
                    <w:rPr>
                      <w:rFonts w:ascii="Arial" w:hAnsi="Arial" w:cs="Arial"/>
                      <w:b/>
                    </w:rPr>
                    <w:t>06/15/2016</w:t>
                  </w:r>
                </w:p>
              </w:tc>
            </w:tr>
            <w:tr w:rsidR="009F5C05" w14:paraId="439718FE" w14:textId="77777777" w:rsidTr="00CC334F">
              <w:trPr>
                <w:trHeight w:val="279"/>
              </w:trPr>
              <w:tc>
                <w:tcPr>
                  <w:tcW w:w="3164" w:type="dxa"/>
                </w:tcPr>
                <w:p w14:paraId="439718FB" w14:textId="5528DDC4" w:rsidR="009F5C05" w:rsidRDefault="00C3149C" w:rsidP="00C3149C">
                  <w:pPr>
                    <w:framePr w:hSpace="180" w:wrap="around" w:vAnchor="text" w:hAnchor="margin" w:x="10" w:y="53"/>
                    <w:autoSpaceDE w:val="0"/>
                    <w:autoSpaceDN w:val="0"/>
                    <w:adjustRightInd w:val="0"/>
                    <w:ind w:right="-20"/>
                    <w:rPr>
                      <w:rFonts w:ascii="Arial" w:hAnsi="Arial" w:cs="Arial"/>
                      <w:b/>
                    </w:rPr>
                  </w:pPr>
                  <w:r>
                    <w:rPr>
                      <w:rFonts w:ascii="Arial" w:hAnsi="Arial" w:cs="Arial"/>
                      <w:b/>
                    </w:rPr>
                    <w:t>05/10/2017</w:t>
                  </w:r>
                </w:p>
              </w:tc>
              <w:tc>
                <w:tcPr>
                  <w:tcW w:w="3164" w:type="dxa"/>
                </w:tcPr>
                <w:p w14:paraId="439718FC" w14:textId="1BD09959" w:rsidR="009F5C05" w:rsidRDefault="00C3149C" w:rsidP="00C3149C">
                  <w:pPr>
                    <w:framePr w:hSpace="180" w:wrap="around" w:vAnchor="text" w:hAnchor="margin" w:x="10" w:y="53"/>
                    <w:autoSpaceDE w:val="0"/>
                    <w:autoSpaceDN w:val="0"/>
                    <w:adjustRightInd w:val="0"/>
                    <w:ind w:right="-20"/>
                    <w:rPr>
                      <w:rFonts w:ascii="Arial" w:hAnsi="Arial" w:cs="Arial"/>
                      <w:b/>
                    </w:rPr>
                  </w:pPr>
                  <w:r>
                    <w:rPr>
                      <w:rFonts w:ascii="Arial" w:hAnsi="Arial" w:cs="Arial"/>
                      <w:b/>
                    </w:rPr>
                    <w:t>05/10/2017</w:t>
                  </w:r>
                </w:p>
              </w:tc>
              <w:tc>
                <w:tcPr>
                  <w:tcW w:w="3476" w:type="dxa"/>
                </w:tcPr>
                <w:p w14:paraId="439718FD" w14:textId="232839FF" w:rsidR="009F5C05" w:rsidRDefault="00C3149C" w:rsidP="00C3149C">
                  <w:pPr>
                    <w:framePr w:hSpace="180" w:wrap="around" w:vAnchor="text" w:hAnchor="margin" w:x="10" w:y="53"/>
                    <w:autoSpaceDE w:val="0"/>
                    <w:autoSpaceDN w:val="0"/>
                    <w:adjustRightInd w:val="0"/>
                    <w:ind w:right="-20"/>
                    <w:rPr>
                      <w:rFonts w:ascii="Arial" w:hAnsi="Arial" w:cs="Arial"/>
                      <w:b/>
                    </w:rPr>
                  </w:pPr>
                  <w:r>
                    <w:rPr>
                      <w:rFonts w:ascii="Arial" w:hAnsi="Arial" w:cs="Arial"/>
                      <w:b/>
                    </w:rPr>
                    <w:t>04/28</w:t>
                  </w:r>
                  <w:r w:rsidR="009B6640">
                    <w:rPr>
                      <w:rFonts w:ascii="Arial" w:hAnsi="Arial" w:cs="Arial"/>
                      <w:b/>
                    </w:rPr>
                    <w:t>/2017</w:t>
                  </w:r>
                </w:p>
              </w:tc>
            </w:tr>
          </w:tbl>
          <w:p w14:paraId="439718FF" w14:textId="77777777" w:rsidR="009F5C05" w:rsidRPr="00D342C1" w:rsidRDefault="009F5C05" w:rsidP="00DC72FB">
            <w:pPr>
              <w:autoSpaceDE w:val="0"/>
              <w:autoSpaceDN w:val="0"/>
              <w:adjustRightInd w:val="0"/>
              <w:spacing w:after="0" w:line="240" w:lineRule="auto"/>
              <w:ind w:right="-20"/>
              <w:rPr>
                <w:rFonts w:ascii="Arial" w:hAnsi="Arial" w:cs="Arial"/>
                <w:b/>
              </w:rPr>
            </w:pPr>
          </w:p>
        </w:tc>
      </w:tr>
    </w:tbl>
    <w:p w14:paraId="43971905" w14:textId="77777777" w:rsidR="00A22F91" w:rsidRDefault="00A22F91" w:rsidP="00F97099"/>
    <w:sectPr w:rsidR="00A22F91" w:rsidSect="00C92217">
      <w:head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EC9EC" w14:textId="77777777" w:rsidR="009826CA" w:rsidRDefault="009826CA" w:rsidP="00235C05">
      <w:pPr>
        <w:spacing w:after="0" w:line="240" w:lineRule="auto"/>
      </w:pPr>
      <w:r>
        <w:separator/>
      </w:r>
    </w:p>
  </w:endnote>
  <w:endnote w:type="continuationSeparator" w:id="0">
    <w:p w14:paraId="0D7C0672" w14:textId="77777777" w:rsidR="009826CA" w:rsidRDefault="009826CA"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4242D" w14:textId="77777777" w:rsidR="009826CA" w:rsidRDefault="009826CA" w:rsidP="00235C05">
      <w:pPr>
        <w:spacing w:after="0" w:line="240" w:lineRule="auto"/>
      </w:pPr>
      <w:r>
        <w:separator/>
      </w:r>
    </w:p>
  </w:footnote>
  <w:footnote w:type="continuationSeparator" w:id="0">
    <w:p w14:paraId="3F2472A3" w14:textId="77777777" w:rsidR="009826CA" w:rsidRDefault="009826CA"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4" w:type="pct"/>
      <w:tblInd w:w="15" w:type="dxa"/>
      <w:tblLayout w:type="fixed"/>
      <w:tblCellMar>
        <w:left w:w="0" w:type="dxa"/>
        <w:right w:w="0" w:type="dxa"/>
      </w:tblCellMar>
      <w:tblLook w:val="0020" w:firstRow="1" w:lastRow="0" w:firstColumn="0" w:lastColumn="0" w:noHBand="0" w:noVBand="0"/>
    </w:tblPr>
    <w:tblGrid>
      <w:gridCol w:w="1910"/>
      <w:gridCol w:w="3024"/>
      <w:gridCol w:w="2210"/>
      <w:gridCol w:w="2156"/>
    </w:tblGrid>
    <w:tr w:rsidR="0084049E" w:rsidRPr="00F93A82" w14:paraId="6456B68F" w14:textId="77777777" w:rsidTr="00DC72FB">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33F03AD0" w14:textId="77777777" w:rsidR="0084049E" w:rsidRDefault="0084049E" w:rsidP="00556B58">
          <w:pPr>
            <w:autoSpaceDE w:val="0"/>
            <w:autoSpaceDN w:val="0"/>
            <w:adjustRightInd w:val="0"/>
            <w:spacing w:before="4" w:after="0" w:line="240" w:lineRule="auto"/>
            <w:ind w:right="-20"/>
            <w:jc w:val="center"/>
            <w:rPr>
              <w:rFonts w:ascii="Arial" w:hAnsi="Arial" w:cs="Arial"/>
              <w:b/>
              <w:bCs/>
              <w:sz w:val="24"/>
              <w:szCs w:val="24"/>
            </w:rPr>
          </w:pPr>
        </w:p>
        <w:p w14:paraId="220D1DB3" w14:textId="77777777" w:rsidR="0084049E" w:rsidRPr="0024352A" w:rsidRDefault="0084049E" w:rsidP="00556B58">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Pr>
              <w:rFonts w:ascii="Arial" w:hAnsi="Arial" w:cs="Arial"/>
              <w:b/>
              <w:bCs/>
              <w:sz w:val="24"/>
              <w:szCs w:val="24"/>
            </w:rPr>
            <w:t xml:space="preserve">Health </w:t>
          </w:r>
          <w:r w:rsidRPr="0024352A">
            <w:rPr>
              <w:rFonts w:ascii="Arial" w:hAnsi="Arial" w:cs="Arial"/>
              <w:b/>
              <w:bCs/>
              <w:sz w:val="24"/>
              <w:szCs w:val="24"/>
            </w:rPr>
            <w:t>Mo</w:t>
          </w:r>
          <w:r>
            <w:rPr>
              <w:rFonts w:ascii="Arial" w:hAnsi="Arial" w:cs="Arial"/>
              <w:b/>
              <w:bCs/>
              <w:sz w:val="24"/>
              <w:szCs w:val="24"/>
            </w:rPr>
            <w:t>rsani CRC</w:t>
          </w:r>
        </w:p>
        <w:p w14:paraId="6C391139" w14:textId="77777777" w:rsidR="0084049E" w:rsidRDefault="0084049E" w:rsidP="00556B58">
          <w:pPr>
            <w:autoSpaceDE w:val="0"/>
            <w:autoSpaceDN w:val="0"/>
            <w:adjustRightInd w:val="0"/>
            <w:spacing w:before="4" w:after="0" w:line="240" w:lineRule="auto"/>
            <w:ind w:right="-20"/>
            <w:jc w:val="center"/>
            <w:rPr>
              <w:rFonts w:ascii="Arial" w:hAnsi="Arial" w:cs="Arial"/>
              <w:b/>
              <w:bCs/>
            </w:rPr>
          </w:pPr>
        </w:p>
      </w:tc>
    </w:tr>
    <w:tr w:rsidR="0084049E" w:rsidRPr="00F93A82" w14:paraId="44BC5E7B" w14:textId="77777777" w:rsidTr="004715E7">
      <w:trPr>
        <w:cantSplit/>
        <w:trHeight w:hRule="exact" w:val="1065"/>
        <w:tblHeader/>
      </w:trPr>
      <w:tc>
        <w:tcPr>
          <w:tcW w:w="1027" w:type="pct"/>
          <w:tcBorders>
            <w:top w:val="single" w:sz="12" w:space="0" w:color="000000"/>
            <w:left w:val="single" w:sz="12" w:space="0" w:color="000000"/>
            <w:bottom w:val="single" w:sz="12" w:space="0" w:color="000000"/>
            <w:right w:val="single" w:sz="12" w:space="0" w:color="000000"/>
          </w:tcBorders>
          <w:vAlign w:val="center"/>
        </w:tcPr>
        <w:p w14:paraId="6DA679B7" w14:textId="77777777" w:rsidR="0084049E" w:rsidRPr="00F93A82" w:rsidRDefault="0084049E" w:rsidP="00556B58">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2967AF4" wp14:editId="75BC7433">
                <wp:extent cx="847725" cy="58627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77" cy="591500"/>
                        </a:xfrm>
                        <a:prstGeom prst="rect">
                          <a:avLst/>
                        </a:prstGeom>
                        <a:noFill/>
                      </pic:spPr>
                    </pic:pic>
                  </a:graphicData>
                </a:graphic>
              </wp:inline>
            </w:drawing>
          </w:r>
        </w:p>
      </w:tc>
      <w:tc>
        <w:tcPr>
          <w:tcW w:w="3973" w:type="pct"/>
          <w:gridSpan w:val="3"/>
          <w:tcBorders>
            <w:top w:val="single" w:sz="12" w:space="0" w:color="000000"/>
            <w:left w:val="single" w:sz="12" w:space="0" w:color="000000"/>
            <w:bottom w:val="single" w:sz="12" w:space="0" w:color="000000"/>
            <w:right w:val="single" w:sz="12" w:space="0" w:color="000000"/>
          </w:tcBorders>
        </w:tcPr>
        <w:p w14:paraId="2EBBB758" w14:textId="77777777" w:rsidR="0084049E" w:rsidRDefault="0084049E" w:rsidP="00556B58">
          <w:pPr>
            <w:autoSpaceDE w:val="0"/>
            <w:autoSpaceDN w:val="0"/>
            <w:adjustRightInd w:val="0"/>
            <w:spacing w:after="0" w:line="240" w:lineRule="auto"/>
            <w:ind w:right="-20"/>
            <w:jc w:val="center"/>
            <w:rPr>
              <w:rFonts w:ascii="Arial" w:hAnsi="Arial" w:cs="Arial"/>
              <w:b/>
              <w:bCs/>
              <w:sz w:val="24"/>
              <w:szCs w:val="24"/>
            </w:rPr>
          </w:pPr>
        </w:p>
        <w:p w14:paraId="3F80A164" w14:textId="72757BF7" w:rsidR="0084049E" w:rsidRPr="00D7348D" w:rsidRDefault="0084049E" w:rsidP="00556B58">
          <w:pPr>
            <w:autoSpaceDE w:val="0"/>
            <w:autoSpaceDN w:val="0"/>
            <w:adjustRightInd w:val="0"/>
            <w:spacing w:after="0" w:line="240" w:lineRule="auto"/>
            <w:ind w:right="-20"/>
            <w:jc w:val="center"/>
            <w:rPr>
              <w:rFonts w:ascii="Arial" w:hAnsi="Arial" w:cs="Arial"/>
              <w:sz w:val="28"/>
              <w:szCs w:val="28"/>
            </w:rPr>
          </w:pPr>
          <w:r w:rsidRPr="004715E7">
            <w:rPr>
              <w:rFonts w:ascii="Arial" w:hAnsi="Arial" w:cs="Arial"/>
              <w:b/>
              <w:bCs/>
              <w:sz w:val="28"/>
              <w:szCs w:val="28"/>
            </w:rPr>
            <w:t>ROLE OF THE OFFICE OF CLINICAL RESEARCH</w:t>
          </w:r>
        </w:p>
      </w:tc>
    </w:tr>
    <w:tr w:rsidR="0084049E" w:rsidRPr="00F93A82" w14:paraId="06D849DE" w14:textId="77777777" w:rsidTr="004715E7">
      <w:trPr>
        <w:cantSplit/>
        <w:trHeight w:hRule="exact" w:val="435"/>
        <w:tblHeader/>
      </w:trPr>
      <w:tc>
        <w:tcPr>
          <w:tcW w:w="1027" w:type="pct"/>
          <w:tcBorders>
            <w:top w:val="single" w:sz="12" w:space="0" w:color="000000"/>
            <w:left w:val="single" w:sz="12" w:space="0" w:color="000000"/>
            <w:bottom w:val="single" w:sz="12" w:space="0" w:color="000000"/>
            <w:right w:val="single" w:sz="12" w:space="0" w:color="000000"/>
          </w:tcBorders>
          <w:vAlign w:val="bottom"/>
        </w:tcPr>
        <w:p w14:paraId="785E6ED7" w14:textId="433751F6" w:rsidR="0084049E" w:rsidRPr="00851AE9" w:rsidRDefault="0084049E" w:rsidP="00556B58">
          <w:pPr>
            <w:autoSpaceDE w:val="0"/>
            <w:autoSpaceDN w:val="0"/>
            <w:adjustRightInd w:val="0"/>
            <w:spacing w:after="0" w:line="240" w:lineRule="auto"/>
            <w:ind w:left="95" w:right="-20"/>
            <w:jc w:val="center"/>
            <w:rPr>
              <w:rFonts w:ascii="Arial" w:hAnsi="Arial" w:cs="Arial"/>
              <w:b/>
            </w:rPr>
          </w:pPr>
          <w:r w:rsidRPr="00851AE9">
            <w:rPr>
              <w:rFonts w:ascii="Arial" w:hAnsi="Arial" w:cs="Arial"/>
              <w:b/>
            </w:rPr>
            <w:t>SOP#: 10</w:t>
          </w:r>
          <w:r>
            <w:rPr>
              <w:rFonts w:ascii="Arial" w:hAnsi="Arial" w:cs="Arial"/>
              <w:b/>
            </w:rPr>
            <w:t>6</w:t>
          </w:r>
        </w:p>
      </w:tc>
      <w:tc>
        <w:tcPr>
          <w:tcW w:w="1626" w:type="pct"/>
          <w:tcBorders>
            <w:top w:val="single" w:sz="12" w:space="0" w:color="000000"/>
            <w:left w:val="single" w:sz="12" w:space="0" w:color="000000"/>
            <w:bottom w:val="single" w:sz="12" w:space="0" w:color="000000"/>
            <w:right w:val="single" w:sz="4" w:space="0" w:color="auto"/>
          </w:tcBorders>
          <w:vAlign w:val="bottom"/>
        </w:tcPr>
        <w:p w14:paraId="59CF2444" w14:textId="2D59B208" w:rsidR="0084049E" w:rsidRPr="00851AE9" w:rsidRDefault="0084049E" w:rsidP="00556B58">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r w:rsidR="00C3149C">
            <w:rPr>
              <w:rFonts w:ascii="Arial" w:hAnsi="Arial" w:cs="Arial"/>
              <w:b/>
              <w:spacing w:val="2"/>
            </w:rPr>
            <w:t xml:space="preserve"> 04/28</w:t>
          </w:r>
          <w:r w:rsidR="00272CCD">
            <w:rPr>
              <w:rFonts w:ascii="Arial" w:hAnsi="Arial" w:cs="Arial"/>
              <w:b/>
              <w:spacing w:val="2"/>
            </w:rPr>
            <w:t>/2017</w:t>
          </w:r>
        </w:p>
      </w:tc>
      <w:tc>
        <w:tcPr>
          <w:tcW w:w="1188" w:type="pct"/>
          <w:tcBorders>
            <w:top w:val="single" w:sz="12" w:space="0" w:color="000000"/>
            <w:left w:val="single" w:sz="4" w:space="0" w:color="auto"/>
            <w:bottom w:val="single" w:sz="12" w:space="0" w:color="000000"/>
            <w:right w:val="single" w:sz="12" w:space="0" w:color="000000"/>
          </w:tcBorders>
          <w:vAlign w:val="bottom"/>
        </w:tcPr>
        <w:p w14:paraId="7AAF2FC6" w14:textId="2122619B" w:rsidR="0084049E" w:rsidRPr="00851AE9" w:rsidRDefault="00272CCD" w:rsidP="00556B58">
          <w:pPr>
            <w:autoSpaceDE w:val="0"/>
            <w:autoSpaceDN w:val="0"/>
            <w:adjustRightInd w:val="0"/>
            <w:spacing w:after="0" w:line="240" w:lineRule="auto"/>
            <w:ind w:right="-20"/>
            <w:jc w:val="center"/>
            <w:rPr>
              <w:rFonts w:ascii="Arial" w:hAnsi="Arial" w:cs="Arial"/>
              <w:b/>
              <w:spacing w:val="2"/>
            </w:rPr>
          </w:pPr>
          <w:r>
            <w:rPr>
              <w:rFonts w:ascii="Arial" w:hAnsi="Arial" w:cs="Arial"/>
              <w:b/>
              <w:spacing w:val="2"/>
            </w:rPr>
            <w:t>Version: 2</w:t>
          </w:r>
          <w:r w:rsidR="0084049E" w:rsidRPr="00851AE9">
            <w:rPr>
              <w:rFonts w:ascii="Arial" w:hAnsi="Arial" w:cs="Arial"/>
              <w:b/>
              <w:spacing w:val="2"/>
            </w:rPr>
            <w:t>.0</w:t>
          </w:r>
        </w:p>
      </w:tc>
      <w:tc>
        <w:tcPr>
          <w:tcW w:w="1159" w:type="pct"/>
          <w:tcBorders>
            <w:top w:val="single" w:sz="12" w:space="0" w:color="000000"/>
            <w:left w:val="single" w:sz="12" w:space="0" w:color="000000"/>
            <w:bottom w:val="single" w:sz="12" w:space="0" w:color="000000"/>
            <w:right w:val="single" w:sz="12" w:space="0" w:color="000000"/>
          </w:tcBorders>
          <w:vAlign w:val="bottom"/>
        </w:tcPr>
        <w:p w14:paraId="2DC8AE6D" w14:textId="4F3314E9" w:rsidR="0084049E" w:rsidRPr="00851AE9" w:rsidRDefault="0084049E" w:rsidP="00556B58">
          <w:pPr>
            <w:autoSpaceDE w:val="0"/>
            <w:autoSpaceDN w:val="0"/>
            <w:adjustRightInd w:val="0"/>
            <w:spacing w:before="18" w:after="0" w:line="253" w:lineRule="auto"/>
            <w:ind w:right="240"/>
            <w:jc w:val="center"/>
            <w:rPr>
              <w:rFonts w:ascii="Arial" w:hAnsi="Arial" w:cs="Arial"/>
              <w:b/>
              <w:bCs/>
              <w:spacing w:val="2"/>
            </w:rPr>
          </w:pPr>
          <w:r w:rsidRPr="00556B58">
            <w:rPr>
              <w:rFonts w:ascii="Arial" w:hAnsi="Arial" w:cs="Arial"/>
              <w:b/>
              <w:bCs/>
              <w:spacing w:val="2"/>
            </w:rPr>
            <w:t xml:space="preserve">Page </w:t>
          </w:r>
          <w:r w:rsidRPr="00556B58">
            <w:rPr>
              <w:rFonts w:ascii="Arial" w:hAnsi="Arial" w:cs="Arial"/>
              <w:b/>
              <w:bCs/>
              <w:spacing w:val="2"/>
            </w:rPr>
            <w:fldChar w:fldCharType="begin"/>
          </w:r>
          <w:r w:rsidRPr="00556B58">
            <w:rPr>
              <w:rFonts w:ascii="Arial" w:hAnsi="Arial" w:cs="Arial"/>
              <w:b/>
              <w:bCs/>
              <w:spacing w:val="2"/>
            </w:rPr>
            <w:instrText xml:space="preserve"> PAGE  \* Arabic  \* MERGEFORMAT </w:instrText>
          </w:r>
          <w:r w:rsidRPr="00556B58">
            <w:rPr>
              <w:rFonts w:ascii="Arial" w:hAnsi="Arial" w:cs="Arial"/>
              <w:b/>
              <w:bCs/>
              <w:spacing w:val="2"/>
            </w:rPr>
            <w:fldChar w:fldCharType="separate"/>
          </w:r>
          <w:r w:rsidR="00C3149C">
            <w:rPr>
              <w:rFonts w:ascii="Arial" w:hAnsi="Arial" w:cs="Arial"/>
              <w:b/>
              <w:bCs/>
              <w:noProof/>
              <w:spacing w:val="2"/>
            </w:rPr>
            <w:t>1</w:t>
          </w:r>
          <w:r w:rsidRPr="00556B58">
            <w:rPr>
              <w:rFonts w:ascii="Arial" w:hAnsi="Arial" w:cs="Arial"/>
              <w:b/>
              <w:bCs/>
              <w:spacing w:val="2"/>
            </w:rPr>
            <w:fldChar w:fldCharType="end"/>
          </w:r>
          <w:r w:rsidRPr="00556B58">
            <w:rPr>
              <w:rFonts w:ascii="Arial" w:hAnsi="Arial" w:cs="Arial"/>
              <w:b/>
              <w:bCs/>
              <w:spacing w:val="2"/>
            </w:rPr>
            <w:t xml:space="preserve"> of </w:t>
          </w:r>
          <w:r w:rsidRPr="00556B58">
            <w:rPr>
              <w:rFonts w:ascii="Arial" w:hAnsi="Arial" w:cs="Arial"/>
              <w:b/>
              <w:bCs/>
              <w:spacing w:val="2"/>
            </w:rPr>
            <w:fldChar w:fldCharType="begin"/>
          </w:r>
          <w:r w:rsidRPr="00556B58">
            <w:rPr>
              <w:rFonts w:ascii="Arial" w:hAnsi="Arial" w:cs="Arial"/>
              <w:b/>
              <w:bCs/>
              <w:spacing w:val="2"/>
            </w:rPr>
            <w:instrText xml:space="preserve"> NUMPAGES  \* Arabic  \* MERGEFORMAT </w:instrText>
          </w:r>
          <w:r w:rsidRPr="00556B58">
            <w:rPr>
              <w:rFonts w:ascii="Arial" w:hAnsi="Arial" w:cs="Arial"/>
              <w:b/>
              <w:bCs/>
              <w:spacing w:val="2"/>
            </w:rPr>
            <w:fldChar w:fldCharType="separate"/>
          </w:r>
          <w:r w:rsidR="00C3149C">
            <w:rPr>
              <w:rFonts w:ascii="Arial" w:hAnsi="Arial" w:cs="Arial"/>
              <w:b/>
              <w:bCs/>
              <w:noProof/>
              <w:spacing w:val="2"/>
            </w:rPr>
            <w:t>4</w:t>
          </w:r>
          <w:r w:rsidRPr="00556B58">
            <w:rPr>
              <w:rFonts w:ascii="Arial" w:hAnsi="Arial" w:cs="Arial"/>
              <w:b/>
              <w:bCs/>
              <w:spacing w:val="2"/>
            </w:rPr>
            <w:fldChar w:fldCharType="end"/>
          </w:r>
        </w:p>
      </w:tc>
    </w:tr>
  </w:tbl>
  <w:p w14:paraId="4397191D" w14:textId="77777777" w:rsidR="0084049E" w:rsidRDefault="00840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5A5A"/>
    <w:multiLevelType w:val="hybridMultilevel"/>
    <w:tmpl w:val="F2D2E3B4"/>
    <w:lvl w:ilvl="0" w:tplc="F510233A">
      <w:start w:val="1"/>
      <w:numFmt w:val="decimal"/>
      <w:lvlText w:val="%1."/>
      <w:lvlJc w:val="left"/>
      <w:pPr>
        <w:ind w:left="360" w:hanging="360"/>
      </w:pPr>
      <w:rPr>
        <w:rFonts w:eastAsiaTheme="minorEastAsia"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64E68"/>
    <w:multiLevelType w:val="multilevel"/>
    <w:tmpl w:val="528C4EAE"/>
    <w:lvl w:ilvl="0">
      <w:start w:val="15"/>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650295E"/>
    <w:multiLevelType w:val="hybridMultilevel"/>
    <w:tmpl w:val="66D6A1F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C1A4700"/>
    <w:multiLevelType w:val="multilevel"/>
    <w:tmpl w:val="43440E9E"/>
    <w:lvl w:ilvl="0">
      <w:start w:val="4"/>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1E8912A5"/>
    <w:multiLevelType w:val="hybridMultilevel"/>
    <w:tmpl w:val="F3FA6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FD7EBB"/>
    <w:multiLevelType w:val="hybridMultilevel"/>
    <w:tmpl w:val="25BCF04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nsid w:val="21BA2813"/>
    <w:multiLevelType w:val="hybridMultilevel"/>
    <w:tmpl w:val="48C6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37BDC"/>
    <w:multiLevelType w:val="hybridMultilevel"/>
    <w:tmpl w:val="D736EBD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9">
    <w:nsid w:val="2C737050"/>
    <w:multiLevelType w:val="multilevel"/>
    <w:tmpl w:val="416C323A"/>
    <w:lvl w:ilvl="0">
      <w:start w:val="1"/>
      <w:numFmt w:val="decimal"/>
      <w:lvlText w:val="%1."/>
      <w:lvlJc w:val="left"/>
      <w:pPr>
        <w:ind w:left="360" w:hanging="360"/>
      </w:pPr>
      <w:rPr>
        <w:rFonts w:hint="default"/>
        <w:b w:val="0"/>
      </w:rPr>
    </w:lvl>
    <w:lvl w:ilvl="1">
      <w:start w:val="1"/>
      <w:numFmt w:val="decimal"/>
      <w:isLgl/>
      <w:lvlText w:val="%1.%2."/>
      <w:lvlJc w:val="left"/>
      <w:pPr>
        <w:ind w:left="900"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500" w:hanging="1800"/>
      </w:pPr>
      <w:rPr>
        <w:rFonts w:hint="default"/>
      </w:rPr>
    </w:lvl>
  </w:abstractNum>
  <w:abstractNum w:abstractNumId="10">
    <w:nsid w:val="2DC17D52"/>
    <w:multiLevelType w:val="multilevel"/>
    <w:tmpl w:val="C52CB244"/>
    <w:lvl w:ilvl="0">
      <w:start w:val="1"/>
      <w:numFmt w:val="decimal"/>
      <w:pStyle w:val="Heading1"/>
      <w:lvlText w:val="%1."/>
      <w:lvlJc w:val="left"/>
      <w:pPr>
        <w:tabs>
          <w:tab w:val="num" w:pos="720"/>
        </w:tabs>
        <w:ind w:left="720" w:hanging="720"/>
      </w:pPr>
    </w:lvl>
    <w:lvl w:ilvl="1">
      <w:start w:val="1"/>
      <w:numFmt w:val="decimal"/>
      <w:pStyle w:val="Heading2"/>
      <w:isLgl/>
      <w:lvlText w:val="%1.%2"/>
      <w:lvlJc w:val="left"/>
      <w:pPr>
        <w:tabs>
          <w:tab w:val="num" w:pos="720"/>
        </w:tabs>
        <w:ind w:left="720" w:hanging="720"/>
      </w:pPr>
      <w:rPr>
        <w:rFonts w:ascii="Arial" w:hAnsi="Arial" w:hint="default"/>
        <w:b/>
        <w:i w:val="0"/>
        <w:sz w:val="22"/>
      </w:rPr>
    </w:lvl>
    <w:lvl w:ilvl="2">
      <w:start w:val="1"/>
      <w:numFmt w:val="decimal"/>
      <w:pStyle w:val="Heading3"/>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30920690"/>
    <w:multiLevelType w:val="hybridMultilevel"/>
    <w:tmpl w:val="EA8ED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56B0404"/>
    <w:multiLevelType w:val="hybridMultilevel"/>
    <w:tmpl w:val="8D1E2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7B31DCA"/>
    <w:multiLevelType w:val="multilevel"/>
    <w:tmpl w:val="057E23CE"/>
    <w:lvl w:ilvl="0">
      <w:start w:val="3"/>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nsid w:val="42602AA3"/>
    <w:multiLevelType w:val="multilevel"/>
    <w:tmpl w:val="7C043B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ascii="Times New Roman" w:hAnsi="Times New Roman" w:cs="Times New Roman" w:hint="default"/>
        <w:b/>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D9D3C32"/>
    <w:multiLevelType w:val="hybridMultilevel"/>
    <w:tmpl w:val="9C7CE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0C6277"/>
    <w:multiLevelType w:val="multilevel"/>
    <w:tmpl w:val="8626DF0A"/>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7">
    <w:nsid w:val="4E920B0D"/>
    <w:multiLevelType w:val="hybridMultilevel"/>
    <w:tmpl w:val="581ED2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54174ABB"/>
    <w:multiLevelType w:val="hybridMultilevel"/>
    <w:tmpl w:val="709A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D4FF7"/>
    <w:multiLevelType w:val="hybridMultilevel"/>
    <w:tmpl w:val="E0A6C6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736094D"/>
    <w:multiLevelType w:val="hybridMultilevel"/>
    <w:tmpl w:val="19A88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FF1B6A"/>
    <w:multiLevelType w:val="hybridMultilevel"/>
    <w:tmpl w:val="EFE857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60C947EC"/>
    <w:multiLevelType w:val="hybridMultilevel"/>
    <w:tmpl w:val="B91E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5A0B7E"/>
    <w:multiLevelType w:val="hybridMultilevel"/>
    <w:tmpl w:val="2C2E3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3F0D3C"/>
    <w:multiLevelType w:val="hybridMultilevel"/>
    <w:tmpl w:val="E5AEC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7084475F"/>
    <w:multiLevelType w:val="hybridMultilevel"/>
    <w:tmpl w:val="75A250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0"/>
  </w:num>
  <w:num w:numId="3">
    <w:abstractNumId w:val="2"/>
  </w:num>
  <w:num w:numId="4">
    <w:abstractNumId w:val="17"/>
  </w:num>
  <w:num w:numId="5">
    <w:abstractNumId w:val="22"/>
  </w:num>
  <w:num w:numId="6">
    <w:abstractNumId w:val="4"/>
  </w:num>
  <w:num w:numId="7">
    <w:abstractNumId w:val="5"/>
  </w:num>
  <w:num w:numId="8">
    <w:abstractNumId w:val="12"/>
  </w:num>
  <w:num w:numId="9">
    <w:abstractNumId w:val="6"/>
  </w:num>
  <w:num w:numId="10">
    <w:abstractNumId w:val="14"/>
  </w:num>
  <w:num w:numId="11">
    <w:abstractNumId w:val="25"/>
  </w:num>
  <w:num w:numId="12">
    <w:abstractNumId w:val="16"/>
  </w:num>
  <w:num w:numId="13">
    <w:abstractNumId w:val="13"/>
  </w:num>
  <w:num w:numId="14">
    <w:abstractNumId w:val="11"/>
  </w:num>
  <w:num w:numId="15">
    <w:abstractNumId w:val="9"/>
  </w:num>
  <w:num w:numId="16">
    <w:abstractNumId w:val="21"/>
  </w:num>
  <w:num w:numId="17">
    <w:abstractNumId w:val="19"/>
  </w:num>
  <w:num w:numId="18">
    <w:abstractNumId w:val="8"/>
  </w:num>
  <w:num w:numId="19">
    <w:abstractNumId w:val="3"/>
  </w:num>
  <w:num w:numId="20">
    <w:abstractNumId w:val="18"/>
  </w:num>
  <w:num w:numId="21">
    <w:abstractNumId w:val="23"/>
  </w:num>
  <w:num w:numId="22">
    <w:abstractNumId w:val="7"/>
  </w:num>
  <w:num w:numId="23">
    <w:abstractNumId w:val="15"/>
  </w:num>
  <w:num w:numId="24">
    <w:abstractNumId w:val="1"/>
  </w:num>
  <w:num w:numId="25">
    <w:abstractNumId w:val="24"/>
  </w:num>
  <w:num w:numId="2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1148C"/>
    <w:rsid w:val="0002149C"/>
    <w:rsid w:val="00023B96"/>
    <w:rsid w:val="00023DA7"/>
    <w:rsid w:val="00025534"/>
    <w:rsid w:val="00032043"/>
    <w:rsid w:val="00036D74"/>
    <w:rsid w:val="00036FC5"/>
    <w:rsid w:val="00043C69"/>
    <w:rsid w:val="000446FF"/>
    <w:rsid w:val="00044961"/>
    <w:rsid w:val="00045A4C"/>
    <w:rsid w:val="00046024"/>
    <w:rsid w:val="000478CA"/>
    <w:rsid w:val="00052F4C"/>
    <w:rsid w:val="00055199"/>
    <w:rsid w:val="000554E6"/>
    <w:rsid w:val="00056156"/>
    <w:rsid w:val="00073A89"/>
    <w:rsid w:val="0008062B"/>
    <w:rsid w:val="00085DF3"/>
    <w:rsid w:val="00096014"/>
    <w:rsid w:val="000A09EB"/>
    <w:rsid w:val="000A3408"/>
    <w:rsid w:val="000A4391"/>
    <w:rsid w:val="000B5D67"/>
    <w:rsid w:val="000C6F5D"/>
    <w:rsid w:val="000C7519"/>
    <w:rsid w:val="000D07DE"/>
    <w:rsid w:val="000D2AA9"/>
    <w:rsid w:val="000D44E8"/>
    <w:rsid w:val="000D50F3"/>
    <w:rsid w:val="000E0857"/>
    <w:rsid w:val="000E270B"/>
    <w:rsid w:val="000E2C26"/>
    <w:rsid w:val="000E2D20"/>
    <w:rsid w:val="000E5325"/>
    <w:rsid w:val="000E57D2"/>
    <w:rsid w:val="000F6777"/>
    <w:rsid w:val="001054D6"/>
    <w:rsid w:val="00106A1D"/>
    <w:rsid w:val="001123BA"/>
    <w:rsid w:val="001208B6"/>
    <w:rsid w:val="001343BA"/>
    <w:rsid w:val="001414C7"/>
    <w:rsid w:val="00144158"/>
    <w:rsid w:val="001477BE"/>
    <w:rsid w:val="001519F7"/>
    <w:rsid w:val="001520D8"/>
    <w:rsid w:val="001520DC"/>
    <w:rsid w:val="001658FE"/>
    <w:rsid w:val="00167904"/>
    <w:rsid w:val="001720CE"/>
    <w:rsid w:val="001733FC"/>
    <w:rsid w:val="00177F5E"/>
    <w:rsid w:val="001932C3"/>
    <w:rsid w:val="001935FE"/>
    <w:rsid w:val="001A30EB"/>
    <w:rsid w:val="001A559D"/>
    <w:rsid w:val="001B0AFE"/>
    <w:rsid w:val="001C0691"/>
    <w:rsid w:val="001C1C19"/>
    <w:rsid w:val="001C4FD7"/>
    <w:rsid w:val="001C5268"/>
    <w:rsid w:val="001D5E87"/>
    <w:rsid w:val="001E325C"/>
    <w:rsid w:val="001E67A3"/>
    <w:rsid w:val="001F007B"/>
    <w:rsid w:val="001F04A6"/>
    <w:rsid w:val="001F7006"/>
    <w:rsid w:val="00202DB7"/>
    <w:rsid w:val="002048D0"/>
    <w:rsid w:val="00204BF3"/>
    <w:rsid w:val="0021392B"/>
    <w:rsid w:val="00220CB9"/>
    <w:rsid w:val="00223926"/>
    <w:rsid w:val="00223DD2"/>
    <w:rsid w:val="00225BB1"/>
    <w:rsid w:val="00226965"/>
    <w:rsid w:val="00226BC7"/>
    <w:rsid w:val="00235C05"/>
    <w:rsid w:val="00237202"/>
    <w:rsid w:val="0024352A"/>
    <w:rsid w:val="00245AA2"/>
    <w:rsid w:val="00246FDC"/>
    <w:rsid w:val="002551DF"/>
    <w:rsid w:val="0025727A"/>
    <w:rsid w:val="00260F83"/>
    <w:rsid w:val="00263ABF"/>
    <w:rsid w:val="00264EC6"/>
    <w:rsid w:val="00265CF7"/>
    <w:rsid w:val="00266AE4"/>
    <w:rsid w:val="00271673"/>
    <w:rsid w:val="002729D5"/>
    <w:rsid w:val="00272CCD"/>
    <w:rsid w:val="002807EB"/>
    <w:rsid w:val="00283AEF"/>
    <w:rsid w:val="00284E9D"/>
    <w:rsid w:val="00286E99"/>
    <w:rsid w:val="00287B94"/>
    <w:rsid w:val="002906E4"/>
    <w:rsid w:val="00293B62"/>
    <w:rsid w:val="00294F75"/>
    <w:rsid w:val="00296EC3"/>
    <w:rsid w:val="002A1E18"/>
    <w:rsid w:val="002A49E6"/>
    <w:rsid w:val="002A6CC8"/>
    <w:rsid w:val="002B2964"/>
    <w:rsid w:val="002B3D25"/>
    <w:rsid w:val="002C546B"/>
    <w:rsid w:val="002C6C9F"/>
    <w:rsid w:val="002C7F10"/>
    <w:rsid w:val="002D0611"/>
    <w:rsid w:val="002D282C"/>
    <w:rsid w:val="002D6816"/>
    <w:rsid w:val="002E0E56"/>
    <w:rsid w:val="002E3C0F"/>
    <w:rsid w:val="002F39AD"/>
    <w:rsid w:val="002F5356"/>
    <w:rsid w:val="002F5EED"/>
    <w:rsid w:val="002F633D"/>
    <w:rsid w:val="002F6FEF"/>
    <w:rsid w:val="00301AC4"/>
    <w:rsid w:val="0030206B"/>
    <w:rsid w:val="0030363E"/>
    <w:rsid w:val="00305876"/>
    <w:rsid w:val="0031007C"/>
    <w:rsid w:val="003123FD"/>
    <w:rsid w:val="00317F00"/>
    <w:rsid w:val="00325E5A"/>
    <w:rsid w:val="003268EF"/>
    <w:rsid w:val="0032712D"/>
    <w:rsid w:val="003315FB"/>
    <w:rsid w:val="00332895"/>
    <w:rsid w:val="00345B2E"/>
    <w:rsid w:val="00351C11"/>
    <w:rsid w:val="00354EEA"/>
    <w:rsid w:val="00355088"/>
    <w:rsid w:val="00356D09"/>
    <w:rsid w:val="00362AC8"/>
    <w:rsid w:val="00367B75"/>
    <w:rsid w:val="00376AA3"/>
    <w:rsid w:val="00377489"/>
    <w:rsid w:val="00384287"/>
    <w:rsid w:val="00386560"/>
    <w:rsid w:val="00387390"/>
    <w:rsid w:val="0038774F"/>
    <w:rsid w:val="00395AFA"/>
    <w:rsid w:val="00396D4B"/>
    <w:rsid w:val="003A21C9"/>
    <w:rsid w:val="003A3D79"/>
    <w:rsid w:val="003A49D3"/>
    <w:rsid w:val="003A4B2D"/>
    <w:rsid w:val="003A575B"/>
    <w:rsid w:val="003B01DD"/>
    <w:rsid w:val="003B3F0B"/>
    <w:rsid w:val="003B4D0C"/>
    <w:rsid w:val="003C07E3"/>
    <w:rsid w:val="003C2E1A"/>
    <w:rsid w:val="003C3EAD"/>
    <w:rsid w:val="003C763A"/>
    <w:rsid w:val="003C79C0"/>
    <w:rsid w:val="003D04F1"/>
    <w:rsid w:val="003D22A7"/>
    <w:rsid w:val="003D4712"/>
    <w:rsid w:val="003E20A5"/>
    <w:rsid w:val="003E57B7"/>
    <w:rsid w:val="003F49E2"/>
    <w:rsid w:val="003F6A8D"/>
    <w:rsid w:val="003F7227"/>
    <w:rsid w:val="0040140B"/>
    <w:rsid w:val="0041122D"/>
    <w:rsid w:val="00411669"/>
    <w:rsid w:val="0041391A"/>
    <w:rsid w:val="0041406D"/>
    <w:rsid w:val="00421053"/>
    <w:rsid w:val="004255E1"/>
    <w:rsid w:val="00425D2E"/>
    <w:rsid w:val="00433679"/>
    <w:rsid w:val="004355AD"/>
    <w:rsid w:val="00452F55"/>
    <w:rsid w:val="00456941"/>
    <w:rsid w:val="00457BB3"/>
    <w:rsid w:val="00461FC2"/>
    <w:rsid w:val="0046238D"/>
    <w:rsid w:val="004715E7"/>
    <w:rsid w:val="004832E6"/>
    <w:rsid w:val="00490626"/>
    <w:rsid w:val="00491F0E"/>
    <w:rsid w:val="00494EE5"/>
    <w:rsid w:val="004A4C11"/>
    <w:rsid w:val="004A52B9"/>
    <w:rsid w:val="004B524E"/>
    <w:rsid w:val="004C0A4A"/>
    <w:rsid w:val="004C3DAF"/>
    <w:rsid w:val="004C4029"/>
    <w:rsid w:val="004C4948"/>
    <w:rsid w:val="004C55C3"/>
    <w:rsid w:val="004C60EE"/>
    <w:rsid w:val="004C668C"/>
    <w:rsid w:val="004D0558"/>
    <w:rsid w:val="004D572C"/>
    <w:rsid w:val="004D7770"/>
    <w:rsid w:val="004E2184"/>
    <w:rsid w:val="004E43E3"/>
    <w:rsid w:val="004F3272"/>
    <w:rsid w:val="004F7BC1"/>
    <w:rsid w:val="005004D9"/>
    <w:rsid w:val="00506DAF"/>
    <w:rsid w:val="005133A4"/>
    <w:rsid w:val="00514483"/>
    <w:rsid w:val="00514638"/>
    <w:rsid w:val="00516FFB"/>
    <w:rsid w:val="00525889"/>
    <w:rsid w:val="00533763"/>
    <w:rsid w:val="00542B31"/>
    <w:rsid w:val="005502AE"/>
    <w:rsid w:val="0055577E"/>
    <w:rsid w:val="005557E2"/>
    <w:rsid w:val="00556B58"/>
    <w:rsid w:val="00560777"/>
    <w:rsid w:val="00565E68"/>
    <w:rsid w:val="00567CDE"/>
    <w:rsid w:val="00570D82"/>
    <w:rsid w:val="00571633"/>
    <w:rsid w:val="00575FBF"/>
    <w:rsid w:val="0058299A"/>
    <w:rsid w:val="00584AFC"/>
    <w:rsid w:val="00584FB2"/>
    <w:rsid w:val="005914F2"/>
    <w:rsid w:val="00592518"/>
    <w:rsid w:val="00592B9B"/>
    <w:rsid w:val="0059397E"/>
    <w:rsid w:val="00593CF2"/>
    <w:rsid w:val="005A0597"/>
    <w:rsid w:val="005A16A4"/>
    <w:rsid w:val="005A2471"/>
    <w:rsid w:val="005A280B"/>
    <w:rsid w:val="005A39FB"/>
    <w:rsid w:val="005B29BD"/>
    <w:rsid w:val="005C1938"/>
    <w:rsid w:val="005C419D"/>
    <w:rsid w:val="005C5FA9"/>
    <w:rsid w:val="005D1097"/>
    <w:rsid w:val="005D1D42"/>
    <w:rsid w:val="005E00A5"/>
    <w:rsid w:val="005F04B8"/>
    <w:rsid w:val="005F5DA8"/>
    <w:rsid w:val="005F6DAD"/>
    <w:rsid w:val="00600DC9"/>
    <w:rsid w:val="00600F91"/>
    <w:rsid w:val="00602597"/>
    <w:rsid w:val="00603174"/>
    <w:rsid w:val="00615ACC"/>
    <w:rsid w:val="00615D73"/>
    <w:rsid w:val="0061650D"/>
    <w:rsid w:val="00616FA7"/>
    <w:rsid w:val="006229A6"/>
    <w:rsid w:val="00624CCF"/>
    <w:rsid w:val="00630861"/>
    <w:rsid w:val="006349F3"/>
    <w:rsid w:val="00636EB2"/>
    <w:rsid w:val="00637DA5"/>
    <w:rsid w:val="0064288D"/>
    <w:rsid w:val="00645DE8"/>
    <w:rsid w:val="00647305"/>
    <w:rsid w:val="006514EB"/>
    <w:rsid w:val="00661DDD"/>
    <w:rsid w:val="00663CD7"/>
    <w:rsid w:val="0066728A"/>
    <w:rsid w:val="00673DC4"/>
    <w:rsid w:val="0067579D"/>
    <w:rsid w:val="0068196E"/>
    <w:rsid w:val="006838F8"/>
    <w:rsid w:val="00687722"/>
    <w:rsid w:val="00692823"/>
    <w:rsid w:val="006A5C20"/>
    <w:rsid w:val="006A6025"/>
    <w:rsid w:val="006B7FFB"/>
    <w:rsid w:val="006C2AA1"/>
    <w:rsid w:val="006D78F8"/>
    <w:rsid w:val="006E1419"/>
    <w:rsid w:val="006E3693"/>
    <w:rsid w:val="006E3C4D"/>
    <w:rsid w:val="006E4517"/>
    <w:rsid w:val="006E569D"/>
    <w:rsid w:val="006E5A0E"/>
    <w:rsid w:val="006E7423"/>
    <w:rsid w:val="006F3623"/>
    <w:rsid w:val="0070568F"/>
    <w:rsid w:val="00706232"/>
    <w:rsid w:val="00706B71"/>
    <w:rsid w:val="00713232"/>
    <w:rsid w:val="00714CFA"/>
    <w:rsid w:val="00716100"/>
    <w:rsid w:val="00717C7E"/>
    <w:rsid w:val="00717DFA"/>
    <w:rsid w:val="00733626"/>
    <w:rsid w:val="0073473E"/>
    <w:rsid w:val="0073634D"/>
    <w:rsid w:val="00742E6F"/>
    <w:rsid w:val="00750E97"/>
    <w:rsid w:val="00753101"/>
    <w:rsid w:val="00757254"/>
    <w:rsid w:val="007656B8"/>
    <w:rsid w:val="00771933"/>
    <w:rsid w:val="00775D22"/>
    <w:rsid w:val="0078220C"/>
    <w:rsid w:val="00783B09"/>
    <w:rsid w:val="00784A47"/>
    <w:rsid w:val="00784C56"/>
    <w:rsid w:val="00786B03"/>
    <w:rsid w:val="00792FBA"/>
    <w:rsid w:val="0079510E"/>
    <w:rsid w:val="007A04AA"/>
    <w:rsid w:val="007A3FA1"/>
    <w:rsid w:val="007A5EC8"/>
    <w:rsid w:val="007B04FE"/>
    <w:rsid w:val="007B40E4"/>
    <w:rsid w:val="007C2F67"/>
    <w:rsid w:val="007C6AC9"/>
    <w:rsid w:val="007D2EAD"/>
    <w:rsid w:val="007D3B53"/>
    <w:rsid w:val="007D7961"/>
    <w:rsid w:val="007E112B"/>
    <w:rsid w:val="007E1F80"/>
    <w:rsid w:val="007E25DD"/>
    <w:rsid w:val="007E5820"/>
    <w:rsid w:val="007E698F"/>
    <w:rsid w:val="007F2869"/>
    <w:rsid w:val="00800F06"/>
    <w:rsid w:val="008036D1"/>
    <w:rsid w:val="008043F8"/>
    <w:rsid w:val="008044BF"/>
    <w:rsid w:val="0081231C"/>
    <w:rsid w:val="008178A7"/>
    <w:rsid w:val="00817F78"/>
    <w:rsid w:val="00826D6C"/>
    <w:rsid w:val="00830DCD"/>
    <w:rsid w:val="00836138"/>
    <w:rsid w:val="0084049E"/>
    <w:rsid w:val="00847B4C"/>
    <w:rsid w:val="0085515C"/>
    <w:rsid w:val="008551D5"/>
    <w:rsid w:val="008617E8"/>
    <w:rsid w:val="0086375A"/>
    <w:rsid w:val="008713E3"/>
    <w:rsid w:val="008746F2"/>
    <w:rsid w:val="00882C75"/>
    <w:rsid w:val="008840FF"/>
    <w:rsid w:val="008A1715"/>
    <w:rsid w:val="008A1B2D"/>
    <w:rsid w:val="008A3EBE"/>
    <w:rsid w:val="008A4D6B"/>
    <w:rsid w:val="008A55A8"/>
    <w:rsid w:val="008B058A"/>
    <w:rsid w:val="008B10FA"/>
    <w:rsid w:val="008B1770"/>
    <w:rsid w:val="008B2122"/>
    <w:rsid w:val="008B34F0"/>
    <w:rsid w:val="008C02DC"/>
    <w:rsid w:val="008C1DE8"/>
    <w:rsid w:val="008C1FA2"/>
    <w:rsid w:val="008C6FB6"/>
    <w:rsid w:val="008C7024"/>
    <w:rsid w:val="008C727D"/>
    <w:rsid w:val="008C7460"/>
    <w:rsid w:val="008D0717"/>
    <w:rsid w:val="008D1692"/>
    <w:rsid w:val="008D61B7"/>
    <w:rsid w:val="008E51E7"/>
    <w:rsid w:val="008E5E90"/>
    <w:rsid w:val="008E7A26"/>
    <w:rsid w:val="008F1C2C"/>
    <w:rsid w:val="008F301F"/>
    <w:rsid w:val="008F642D"/>
    <w:rsid w:val="0090296E"/>
    <w:rsid w:val="00905384"/>
    <w:rsid w:val="00905D2D"/>
    <w:rsid w:val="00910BFF"/>
    <w:rsid w:val="00922393"/>
    <w:rsid w:val="0092413C"/>
    <w:rsid w:val="00924DF5"/>
    <w:rsid w:val="00925F71"/>
    <w:rsid w:val="009326DF"/>
    <w:rsid w:val="0094058E"/>
    <w:rsid w:val="00941024"/>
    <w:rsid w:val="009418BE"/>
    <w:rsid w:val="00941A31"/>
    <w:rsid w:val="00942682"/>
    <w:rsid w:val="00942DAB"/>
    <w:rsid w:val="009535E9"/>
    <w:rsid w:val="00953A88"/>
    <w:rsid w:val="00954598"/>
    <w:rsid w:val="00957B03"/>
    <w:rsid w:val="0096123B"/>
    <w:rsid w:val="009700FF"/>
    <w:rsid w:val="00974E8F"/>
    <w:rsid w:val="009826CA"/>
    <w:rsid w:val="00987B5F"/>
    <w:rsid w:val="00990C26"/>
    <w:rsid w:val="00991648"/>
    <w:rsid w:val="009A01D2"/>
    <w:rsid w:val="009A1B12"/>
    <w:rsid w:val="009A3836"/>
    <w:rsid w:val="009B0611"/>
    <w:rsid w:val="009B1535"/>
    <w:rsid w:val="009B6640"/>
    <w:rsid w:val="009C0812"/>
    <w:rsid w:val="009C0ECF"/>
    <w:rsid w:val="009C58F5"/>
    <w:rsid w:val="009C63C1"/>
    <w:rsid w:val="009D107F"/>
    <w:rsid w:val="009D181F"/>
    <w:rsid w:val="009E1045"/>
    <w:rsid w:val="009F2988"/>
    <w:rsid w:val="009F4BDB"/>
    <w:rsid w:val="009F5C05"/>
    <w:rsid w:val="00A00E57"/>
    <w:rsid w:val="00A0227A"/>
    <w:rsid w:val="00A03109"/>
    <w:rsid w:val="00A05E23"/>
    <w:rsid w:val="00A071E2"/>
    <w:rsid w:val="00A07851"/>
    <w:rsid w:val="00A123F8"/>
    <w:rsid w:val="00A200A6"/>
    <w:rsid w:val="00A21E7B"/>
    <w:rsid w:val="00A22F91"/>
    <w:rsid w:val="00A31CD8"/>
    <w:rsid w:val="00A3237F"/>
    <w:rsid w:val="00A35D7D"/>
    <w:rsid w:val="00A400F8"/>
    <w:rsid w:val="00A44A26"/>
    <w:rsid w:val="00A45072"/>
    <w:rsid w:val="00A500AA"/>
    <w:rsid w:val="00A54414"/>
    <w:rsid w:val="00A5510B"/>
    <w:rsid w:val="00A562B7"/>
    <w:rsid w:val="00A579FA"/>
    <w:rsid w:val="00A57D5D"/>
    <w:rsid w:val="00A647AC"/>
    <w:rsid w:val="00A66933"/>
    <w:rsid w:val="00A71D05"/>
    <w:rsid w:val="00A740C4"/>
    <w:rsid w:val="00A83B75"/>
    <w:rsid w:val="00A84414"/>
    <w:rsid w:val="00A86D3B"/>
    <w:rsid w:val="00A905C8"/>
    <w:rsid w:val="00A94443"/>
    <w:rsid w:val="00A94E17"/>
    <w:rsid w:val="00AA37FB"/>
    <w:rsid w:val="00AA51DE"/>
    <w:rsid w:val="00AB02C7"/>
    <w:rsid w:val="00AB7CAD"/>
    <w:rsid w:val="00AC519F"/>
    <w:rsid w:val="00AC6FA0"/>
    <w:rsid w:val="00AD56DA"/>
    <w:rsid w:val="00AD6DBD"/>
    <w:rsid w:val="00AE4357"/>
    <w:rsid w:val="00AE7C49"/>
    <w:rsid w:val="00AE7C58"/>
    <w:rsid w:val="00AF0A8F"/>
    <w:rsid w:val="00AF3DCF"/>
    <w:rsid w:val="00AF3FDF"/>
    <w:rsid w:val="00AF6FEB"/>
    <w:rsid w:val="00B04E45"/>
    <w:rsid w:val="00B04FC2"/>
    <w:rsid w:val="00B078F9"/>
    <w:rsid w:val="00B117E8"/>
    <w:rsid w:val="00B157F1"/>
    <w:rsid w:val="00B164A3"/>
    <w:rsid w:val="00B20F3C"/>
    <w:rsid w:val="00B24582"/>
    <w:rsid w:val="00B30C24"/>
    <w:rsid w:val="00B30E32"/>
    <w:rsid w:val="00B37204"/>
    <w:rsid w:val="00B40015"/>
    <w:rsid w:val="00B42E7B"/>
    <w:rsid w:val="00B43850"/>
    <w:rsid w:val="00B4577A"/>
    <w:rsid w:val="00B47644"/>
    <w:rsid w:val="00B47F15"/>
    <w:rsid w:val="00B50DC9"/>
    <w:rsid w:val="00B525BB"/>
    <w:rsid w:val="00B537D9"/>
    <w:rsid w:val="00B53FD6"/>
    <w:rsid w:val="00B551B4"/>
    <w:rsid w:val="00B55B46"/>
    <w:rsid w:val="00B56F80"/>
    <w:rsid w:val="00B57258"/>
    <w:rsid w:val="00B61110"/>
    <w:rsid w:val="00B6146A"/>
    <w:rsid w:val="00B65278"/>
    <w:rsid w:val="00BA1604"/>
    <w:rsid w:val="00BB0466"/>
    <w:rsid w:val="00BB0D4E"/>
    <w:rsid w:val="00BB55C1"/>
    <w:rsid w:val="00BC022A"/>
    <w:rsid w:val="00BC128A"/>
    <w:rsid w:val="00BC7E92"/>
    <w:rsid w:val="00BD0558"/>
    <w:rsid w:val="00BD2D08"/>
    <w:rsid w:val="00BE1A41"/>
    <w:rsid w:val="00BE24DF"/>
    <w:rsid w:val="00BE523A"/>
    <w:rsid w:val="00BF0B8D"/>
    <w:rsid w:val="00BF12E5"/>
    <w:rsid w:val="00BF259E"/>
    <w:rsid w:val="00BF26B3"/>
    <w:rsid w:val="00BF3B8E"/>
    <w:rsid w:val="00BF54E1"/>
    <w:rsid w:val="00BF56D6"/>
    <w:rsid w:val="00BF7880"/>
    <w:rsid w:val="00C0122A"/>
    <w:rsid w:val="00C036CE"/>
    <w:rsid w:val="00C1003F"/>
    <w:rsid w:val="00C130E4"/>
    <w:rsid w:val="00C14A83"/>
    <w:rsid w:val="00C16F4A"/>
    <w:rsid w:val="00C253D1"/>
    <w:rsid w:val="00C27094"/>
    <w:rsid w:val="00C27DA1"/>
    <w:rsid w:val="00C3149C"/>
    <w:rsid w:val="00C318E5"/>
    <w:rsid w:val="00C34758"/>
    <w:rsid w:val="00C41B4C"/>
    <w:rsid w:val="00C51814"/>
    <w:rsid w:val="00C56477"/>
    <w:rsid w:val="00C56705"/>
    <w:rsid w:val="00C569D4"/>
    <w:rsid w:val="00C611CA"/>
    <w:rsid w:val="00C61255"/>
    <w:rsid w:val="00C61510"/>
    <w:rsid w:val="00C62D32"/>
    <w:rsid w:val="00C634E7"/>
    <w:rsid w:val="00C72D5C"/>
    <w:rsid w:val="00C809D0"/>
    <w:rsid w:val="00C82E3A"/>
    <w:rsid w:val="00C83BF7"/>
    <w:rsid w:val="00C92217"/>
    <w:rsid w:val="00C95D11"/>
    <w:rsid w:val="00C96E0C"/>
    <w:rsid w:val="00CA0A36"/>
    <w:rsid w:val="00CA1B05"/>
    <w:rsid w:val="00CA5956"/>
    <w:rsid w:val="00CA6453"/>
    <w:rsid w:val="00CB0690"/>
    <w:rsid w:val="00CB0AE5"/>
    <w:rsid w:val="00CB7981"/>
    <w:rsid w:val="00CB7BCA"/>
    <w:rsid w:val="00CC122D"/>
    <w:rsid w:val="00CC2F2E"/>
    <w:rsid w:val="00CC334F"/>
    <w:rsid w:val="00CD1BBF"/>
    <w:rsid w:val="00CD5749"/>
    <w:rsid w:val="00CD6BDE"/>
    <w:rsid w:val="00CE0EE7"/>
    <w:rsid w:val="00CE1043"/>
    <w:rsid w:val="00CE20FD"/>
    <w:rsid w:val="00CE22B5"/>
    <w:rsid w:val="00CE5178"/>
    <w:rsid w:val="00CF121F"/>
    <w:rsid w:val="00CF181D"/>
    <w:rsid w:val="00CF68B1"/>
    <w:rsid w:val="00D064CE"/>
    <w:rsid w:val="00D113F9"/>
    <w:rsid w:val="00D13060"/>
    <w:rsid w:val="00D14D39"/>
    <w:rsid w:val="00D15CB7"/>
    <w:rsid w:val="00D15D62"/>
    <w:rsid w:val="00D21E5C"/>
    <w:rsid w:val="00D229BE"/>
    <w:rsid w:val="00D26FF1"/>
    <w:rsid w:val="00D32685"/>
    <w:rsid w:val="00D342C1"/>
    <w:rsid w:val="00D350AB"/>
    <w:rsid w:val="00D37089"/>
    <w:rsid w:val="00D409ED"/>
    <w:rsid w:val="00D445BC"/>
    <w:rsid w:val="00D4641A"/>
    <w:rsid w:val="00D46A1C"/>
    <w:rsid w:val="00D543BE"/>
    <w:rsid w:val="00D54A31"/>
    <w:rsid w:val="00D57335"/>
    <w:rsid w:val="00D60451"/>
    <w:rsid w:val="00D718ED"/>
    <w:rsid w:val="00D7348D"/>
    <w:rsid w:val="00D778F2"/>
    <w:rsid w:val="00D873A5"/>
    <w:rsid w:val="00D90C61"/>
    <w:rsid w:val="00D91CD9"/>
    <w:rsid w:val="00D91D63"/>
    <w:rsid w:val="00D93242"/>
    <w:rsid w:val="00D9517C"/>
    <w:rsid w:val="00DA2F90"/>
    <w:rsid w:val="00DB323F"/>
    <w:rsid w:val="00DB5B26"/>
    <w:rsid w:val="00DC17E4"/>
    <w:rsid w:val="00DC72FB"/>
    <w:rsid w:val="00DD0102"/>
    <w:rsid w:val="00DD3AE2"/>
    <w:rsid w:val="00DD6341"/>
    <w:rsid w:val="00DE55AE"/>
    <w:rsid w:val="00DE5E15"/>
    <w:rsid w:val="00DE6CDB"/>
    <w:rsid w:val="00DF05CB"/>
    <w:rsid w:val="00DF590A"/>
    <w:rsid w:val="00DF5E44"/>
    <w:rsid w:val="00E00BBF"/>
    <w:rsid w:val="00E146A4"/>
    <w:rsid w:val="00E14AB9"/>
    <w:rsid w:val="00E25B7C"/>
    <w:rsid w:val="00E34DA4"/>
    <w:rsid w:val="00E356E1"/>
    <w:rsid w:val="00E44494"/>
    <w:rsid w:val="00E61154"/>
    <w:rsid w:val="00E76233"/>
    <w:rsid w:val="00E816DF"/>
    <w:rsid w:val="00E82208"/>
    <w:rsid w:val="00E83C5E"/>
    <w:rsid w:val="00E85696"/>
    <w:rsid w:val="00E86C3E"/>
    <w:rsid w:val="00E87C4A"/>
    <w:rsid w:val="00E87F95"/>
    <w:rsid w:val="00E92B7D"/>
    <w:rsid w:val="00E94FCF"/>
    <w:rsid w:val="00EA0D76"/>
    <w:rsid w:val="00EA217E"/>
    <w:rsid w:val="00EA4211"/>
    <w:rsid w:val="00EA7111"/>
    <w:rsid w:val="00EC0B78"/>
    <w:rsid w:val="00EC4118"/>
    <w:rsid w:val="00EC546F"/>
    <w:rsid w:val="00EC5FC4"/>
    <w:rsid w:val="00ED2926"/>
    <w:rsid w:val="00ED40C5"/>
    <w:rsid w:val="00ED5738"/>
    <w:rsid w:val="00ED7E3A"/>
    <w:rsid w:val="00EE0B27"/>
    <w:rsid w:val="00EE5C63"/>
    <w:rsid w:val="00EF00DF"/>
    <w:rsid w:val="00EF5013"/>
    <w:rsid w:val="00EF66CC"/>
    <w:rsid w:val="00EF7644"/>
    <w:rsid w:val="00F00E8B"/>
    <w:rsid w:val="00F05D5D"/>
    <w:rsid w:val="00F10E7D"/>
    <w:rsid w:val="00F1386A"/>
    <w:rsid w:val="00F17123"/>
    <w:rsid w:val="00F179C5"/>
    <w:rsid w:val="00F22307"/>
    <w:rsid w:val="00F22BAA"/>
    <w:rsid w:val="00F243E8"/>
    <w:rsid w:val="00F337D1"/>
    <w:rsid w:val="00F34AD4"/>
    <w:rsid w:val="00F377BF"/>
    <w:rsid w:val="00F4102B"/>
    <w:rsid w:val="00F476DF"/>
    <w:rsid w:val="00F50850"/>
    <w:rsid w:val="00F51485"/>
    <w:rsid w:val="00F5190C"/>
    <w:rsid w:val="00F528E4"/>
    <w:rsid w:val="00F539ED"/>
    <w:rsid w:val="00F56084"/>
    <w:rsid w:val="00F63FE5"/>
    <w:rsid w:val="00F64156"/>
    <w:rsid w:val="00F649F1"/>
    <w:rsid w:val="00F728F3"/>
    <w:rsid w:val="00F75519"/>
    <w:rsid w:val="00F804B3"/>
    <w:rsid w:val="00F87804"/>
    <w:rsid w:val="00F93A82"/>
    <w:rsid w:val="00F97099"/>
    <w:rsid w:val="00FA05DC"/>
    <w:rsid w:val="00FA1248"/>
    <w:rsid w:val="00FA4044"/>
    <w:rsid w:val="00FA6586"/>
    <w:rsid w:val="00FB56DC"/>
    <w:rsid w:val="00FB6D76"/>
    <w:rsid w:val="00FC1F62"/>
    <w:rsid w:val="00FC6034"/>
    <w:rsid w:val="00FC6A68"/>
    <w:rsid w:val="00FD39B9"/>
    <w:rsid w:val="00FE08CD"/>
    <w:rsid w:val="00FE398A"/>
    <w:rsid w:val="00FE6716"/>
    <w:rsid w:val="00FE72E0"/>
    <w:rsid w:val="00FE7B00"/>
    <w:rsid w:val="00FF03D0"/>
    <w:rsid w:val="00FF1D38"/>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71872"/>
  <w15:docId w15:val="{1698ACFF-E4EA-4928-A8C5-C1052C42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Indent"/>
    <w:link w:val="Heading1Char"/>
    <w:qFormat/>
    <w:rsid w:val="00384287"/>
    <w:pPr>
      <w:keepNext/>
      <w:numPr>
        <w:numId w:val="1"/>
      </w:numPr>
      <w:spacing w:before="240" w:after="120" w:line="240" w:lineRule="auto"/>
      <w:outlineLvl w:val="0"/>
    </w:pPr>
    <w:rPr>
      <w:rFonts w:ascii="Arial" w:eastAsia="Times New Roman" w:hAnsi="Arial" w:cs="Times New Roman"/>
      <w:b/>
      <w:caps/>
      <w:kern w:val="28"/>
      <w:sz w:val="24"/>
      <w:szCs w:val="20"/>
      <w:lang w:val="en-GB"/>
    </w:rPr>
  </w:style>
  <w:style w:type="paragraph" w:styleId="Heading2">
    <w:name w:val="heading 2"/>
    <w:basedOn w:val="Normal"/>
    <w:next w:val="NormalIndent"/>
    <w:link w:val="Heading2Char"/>
    <w:qFormat/>
    <w:rsid w:val="00384287"/>
    <w:pPr>
      <w:keepNext/>
      <w:numPr>
        <w:ilvl w:val="1"/>
        <w:numId w:val="1"/>
      </w:numPr>
      <w:spacing w:before="240" w:after="60" w:line="240" w:lineRule="auto"/>
      <w:jc w:val="both"/>
      <w:outlineLvl w:val="1"/>
    </w:pPr>
    <w:rPr>
      <w:rFonts w:ascii="Arial" w:eastAsia="Times New Roman" w:hAnsi="Arial" w:cs="Times New Roman"/>
      <w:b/>
      <w:szCs w:val="20"/>
      <w:lang w:val="en-GB"/>
    </w:rPr>
  </w:style>
  <w:style w:type="paragraph" w:styleId="Heading3">
    <w:name w:val="heading 3"/>
    <w:basedOn w:val="Normal"/>
    <w:next w:val="NormalIndent"/>
    <w:link w:val="Heading3Char"/>
    <w:qFormat/>
    <w:rsid w:val="00384287"/>
    <w:pPr>
      <w:numPr>
        <w:ilvl w:val="2"/>
        <w:numId w:val="1"/>
      </w:numPr>
      <w:spacing w:before="240" w:after="60" w:line="240" w:lineRule="auto"/>
      <w:jc w:val="both"/>
      <w:outlineLvl w:val="2"/>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rsid w:val="004E43E3"/>
    <w:pPr>
      <w:spacing w:after="120" w:line="240" w:lineRule="auto"/>
      <w:ind w:left="720"/>
      <w:jc w:val="both"/>
    </w:pPr>
    <w:rPr>
      <w:rFonts w:ascii="Arial" w:eastAsia="Times New Roman" w:hAnsi="Arial" w:cs="Times New Roman"/>
      <w:szCs w:val="20"/>
      <w:lang w:val="en-GB"/>
    </w:rPr>
  </w:style>
  <w:style w:type="character" w:customStyle="1" w:styleId="Heading1Char">
    <w:name w:val="Heading 1 Char"/>
    <w:basedOn w:val="DefaultParagraphFont"/>
    <w:link w:val="Heading1"/>
    <w:rsid w:val="00384287"/>
    <w:rPr>
      <w:rFonts w:ascii="Arial" w:eastAsia="Times New Roman" w:hAnsi="Arial" w:cs="Times New Roman"/>
      <w:b/>
      <w:caps/>
      <w:kern w:val="28"/>
      <w:sz w:val="24"/>
      <w:szCs w:val="20"/>
      <w:lang w:val="en-GB"/>
    </w:rPr>
  </w:style>
  <w:style w:type="character" w:customStyle="1" w:styleId="Heading2Char">
    <w:name w:val="Heading 2 Char"/>
    <w:basedOn w:val="DefaultParagraphFont"/>
    <w:link w:val="Heading2"/>
    <w:rsid w:val="00384287"/>
    <w:rPr>
      <w:rFonts w:ascii="Arial" w:eastAsia="Times New Roman" w:hAnsi="Arial" w:cs="Times New Roman"/>
      <w:b/>
      <w:szCs w:val="20"/>
      <w:lang w:val="en-GB"/>
    </w:rPr>
  </w:style>
  <w:style w:type="character" w:customStyle="1" w:styleId="Heading3Char">
    <w:name w:val="Heading 3 Char"/>
    <w:basedOn w:val="DefaultParagraphFont"/>
    <w:link w:val="Heading3"/>
    <w:rsid w:val="00384287"/>
    <w:rPr>
      <w:rFonts w:ascii="Arial" w:eastAsia="Times New Roman" w:hAnsi="Arial" w:cs="Times New Roman"/>
      <w:szCs w:val="20"/>
      <w:lang w:val="en-GB"/>
    </w:rPr>
  </w:style>
  <w:style w:type="paragraph" w:customStyle="1" w:styleId="NormalBullet">
    <w:name w:val="Normal Bullet"/>
    <w:basedOn w:val="NormalIndent"/>
    <w:rsid w:val="00384287"/>
    <w:pPr>
      <w:numPr>
        <w:numId w:val="3"/>
      </w:numPr>
    </w:pPr>
  </w:style>
  <w:style w:type="character" w:styleId="Emphasis">
    <w:name w:val="Emphasis"/>
    <w:basedOn w:val="DefaultParagraphFont"/>
    <w:uiPriority w:val="20"/>
    <w:qFormat/>
    <w:rsid w:val="000D07DE"/>
    <w:rPr>
      <w:i/>
      <w:iCs/>
    </w:rPr>
  </w:style>
  <w:style w:type="paragraph" w:styleId="BodyText">
    <w:name w:val="Body Text"/>
    <w:basedOn w:val="Normal"/>
    <w:link w:val="BodyTextChar"/>
    <w:uiPriority w:val="99"/>
    <w:semiHidden/>
    <w:unhideWhenUsed/>
    <w:rsid w:val="002F5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F5356"/>
    <w:rPr>
      <w:rFonts w:ascii="Times New Roman" w:eastAsia="Times New Roman" w:hAnsi="Times New Roman" w:cs="Times New Roman"/>
      <w:sz w:val="24"/>
      <w:szCs w:val="24"/>
    </w:rPr>
  </w:style>
  <w:style w:type="paragraph" w:customStyle="1" w:styleId="default0">
    <w:name w:val="default"/>
    <w:basedOn w:val="Normal"/>
    <w:rsid w:val="003100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E523A"/>
    <w:pPr>
      <w:spacing w:before="120" w:after="180" w:line="390" w:lineRule="atLeast"/>
    </w:pPr>
    <w:rPr>
      <w:rFonts w:ascii="Times New Roman" w:eastAsia="Times New Roman" w:hAnsi="Times New Roman" w:cs="Times New Roman"/>
      <w:sz w:val="18"/>
      <w:szCs w:val="18"/>
    </w:rPr>
  </w:style>
  <w:style w:type="character" w:customStyle="1" w:styleId="research1">
    <w:name w:val="research1"/>
    <w:basedOn w:val="DefaultParagraphFont"/>
    <w:rsid w:val="008D1692"/>
    <w:rPr>
      <w:rFonts w:ascii="Verdana" w:hAnsi="Verdana" w:hint="default"/>
      <w:sz w:val="18"/>
      <w:szCs w:val="18"/>
    </w:rPr>
  </w:style>
  <w:style w:type="character" w:styleId="CommentReference">
    <w:name w:val="annotation reference"/>
    <w:basedOn w:val="DefaultParagraphFont"/>
    <w:uiPriority w:val="99"/>
    <w:semiHidden/>
    <w:unhideWhenUsed/>
    <w:rsid w:val="002729D5"/>
    <w:rPr>
      <w:sz w:val="16"/>
      <w:szCs w:val="16"/>
    </w:rPr>
  </w:style>
  <w:style w:type="paragraph" w:styleId="CommentText">
    <w:name w:val="annotation text"/>
    <w:basedOn w:val="Normal"/>
    <w:link w:val="CommentTextChar"/>
    <w:uiPriority w:val="99"/>
    <w:semiHidden/>
    <w:unhideWhenUsed/>
    <w:rsid w:val="002729D5"/>
    <w:pPr>
      <w:spacing w:line="240" w:lineRule="auto"/>
    </w:pPr>
    <w:rPr>
      <w:sz w:val="20"/>
      <w:szCs w:val="20"/>
    </w:rPr>
  </w:style>
  <w:style w:type="character" w:customStyle="1" w:styleId="CommentTextChar">
    <w:name w:val="Comment Text Char"/>
    <w:basedOn w:val="DefaultParagraphFont"/>
    <w:link w:val="CommentText"/>
    <w:uiPriority w:val="99"/>
    <w:semiHidden/>
    <w:rsid w:val="002729D5"/>
    <w:rPr>
      <w:sz w:val="20"/>
      <w:szCs w:val="20"/>
    </w:rPr>
  </w:style>
  <w:style w:type="paragraph" w:styleId="CommentSubject">
    <w:name w:val="annotation subject"/>
    <w:basedOn w:val="CommentText"/>
    <w:next w:val="CommentText"/>
    <w:link w:val="CommentSubjectChar"/>
    <w:uiPriority w:val="99"/>
    <w:semiHidden/>
    <w:unhideWhenUsed/>
    <w:rsid w:val="002729D5"/>
    <w:rPr>
      <w:b/>
      <w:bCs/>
    </w:rPr>
  </w:style>
  <w:style w:type="character" w:customStyle="1" w:styleId="CommentSubjectChar">
    <w:name w:val="Comment Subject Char"/>
    <w:basedOn w:val="CommentTextChar"/>
    <w:link w:val="CommentSubject"/>
    <w:uiPriority w:val="99"/>
    <w:semiHidden/>
    <w:rsid w:val="002729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3923">
      <w:bodyDiv w:val="1"/>
      <w:marLeft w:val="0"/>
      <w:marRight w:val="0"/>
      <w:marTop w:val="0"/>
      <w:marBottom w:val="0"/>
      <w:divBdr>
        <w:top w:val="none" w:sz="0" w:space="0" w:color="auto"/>
        <w:left w:val="none" w:sz="0" w:space="0" w:color="auto"/>
        <w:bottom w:val="none" w:sz="0" w:space="0" w:color="auto"/>
        <w:right w:val="none" w:sz="0" w:space="0" w:color="auto"/>
      </w:divBdr>
      <w:divsChild>
        <w:div w:id="79911226">
          <w:marLeft w:val="0"/>
          <w:marRight w:val="0"/>
          <w:marTop w:val="0"/>
          <w:marBottom w:val="0"/>
          <w:divBdr>
            <w:top w:val="none" w:sz="0" w:space="0" w:color="auto"/>
            <w:left w:val="none" w:sz="0" w:space="0" w:color="auto"/>
            <w:bottom w:val="none" w:sz="0" w:space="0" w:color="auto"/>
            <w:right w:val="none" w:sz="0" w:space="0" w:color="auto"/>
          </w:divBdr>
          <w:divsChild>
            <w:div w:id="850024920">
              <w:marLeft w:val="0"/>
              <w:marRight w:val="0"/>
              <w:marTop w:val="0"/>
              <w:marBottom w:val="0"/>
              <w:divBdr>
                <w:top w:val="none" w:sz="0" w:space="0" w:color="auto"/>
                <w:left w:val="none" w:sz="0" w:space="0" w:color="auto"/>
                <w:bottom w:val="none" w:sz="0" w:space="0" w:color="auto"/>
                <w:right w:val="none" w:sz="0" w:space="0" w:color="auto"/>
              </w:divBdr>
              <w:divsChild>
                <w:div w:id="8870059">
                  <w:marLeft w:val="0"/>
                  <w:marRight w:val="0"/>
                  <w:marTop w:val="0"/>
                  <w:marBottom w:val="0"/>
                  <w:divBdr>
                    <w:top w:val="none" w:sz="0" w:space="0" w:color="auto"/>
                    <w:left w:val="none" w:sz="0" w:space="0" w:color="auto"/>
                    <w:bottom w:val="none" w:sz="0" w:space="0" w:color="auto"/>
                    <w:right w:val="none" w:sz="0" w:space="0" w:color="auto"/>
                  </w:divBdr>
                </w:div>
              </w:divsChild>
            </w:div>
            <w:div w:id="12823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6189">
      <w:bodyDiv w:val="1"/>
      <w:marLeft w:val="0"/>
      <w:marRight w:val="0"/>
      <w:marTop w:val="0"/>
      <w:marBottom w:val="0"/>
      <w:divBdr>
        <w:top w:val="none" w:sz="0" w:space="0" w:color="auto"/>
        <w:left w:val="none" w:sz="0" w:space="0" w:color="auto"/>
        <w:bottom w:val="none" w:sz="0" w:space="0" w:color="auto"/>
        <w:right w:val="none" w:sz="0" w:space="0" w:color="auto"/>
      </w:divBdr>
      <w:divsChild>
        <w:div w:id="836074168">
          <w:marLeft w:val="0"/>
          <w:marRight w:val="0"/>
          <w:marTop w:val="0"/>
          <w:marBottom w:val="0"/>
          <w:divBdr>
            <w:top w:val="none" w:sz="0" w:space="0" w:color="auto"/>
            <w:left w:val="none" w:sz="0" w:space="0" w:color="auto"/>
            <w:bottom w:val="none" w:sz="0" w:space="0" w:color="auto"/>
            <w:right w:val="none" w:sz="0" w:space="0" w:color="auto"/>
          </w:divBdr>
          <w:divsChild>
            <w:div w:id="356545489">
              <w:marLeft w:val="0"/>
              <w:marRight w:val="0"/>
              <w:marTop w:val="0"/>
              <w:marBottom w:val="0"/>
              <w:divBdr>
                <w:top w:val="none" w:sz="0" w:space="0" w:color="auto"/>
                <w:left w:val="none" w:sz="0" w:space="0" w:color="auto"/>
                <w:bottom w:val="none" w:sz="0" w:space="0" w:color="auto"/>
                <w:right w:val="none" w:sz="0" w:space="0" w:color="auto"/>
              </w:divBdr>
              <w:divsChild>
                <w:div w:id="979119211">
                  <w:marLeft w:val="0"/>
                  <w:marRight w:val="0"/>
                  <w:marTop w:val="0"/>
                  <w:marBottom w:val="0"/>
                  <w:divBdr>
                    <w:top w:val="none" w:sz="0" w:space="0" w:color="auto"/>
                    <w:left w:val="none" w:sz="0" w:space="0" w:color="auto"/>
                    <w:bottom w:val="none" w:sz="0" w:space="0" w:color="auto"/>
                    <w:right w:val="none" w:sz="0" w:space="0" w:color="auto"/>
                  </w:divBdr>
                  <w:divsChild>
                    <w:div w:id="12550167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39480">
      <w:bodyDiv w:val="1"/>
      <w:marLeft w:val="0"/>
      <w:marRight w:val="0"/>
      <w:marTop w:val="0"/>
      <w:marBottom w:val="0"/>
      <w:divBdr>
        <w:top w:val="none" w:sz="0" w:space="0" w:color="auto"/>
        <w:left w:val="none" w:sz="0" w:space="0" w:color="auto"/>
        <w:bottom w:val="none" w:sz="0" w:space="0" w:color="auto"/>
        <w:right w:val="none" w:sz="0" w:space="0" w:color="auto"/>
      </w:divBdr>
    </w:div>
    <w:div w:id="1049761738">
      <w:bodyDiv w:val="1"/>
      <w:marLeft w:val="0"/>
      <w:marRight w:val="0"/>
      <w:marTop w:val="0"/>
      <w:marBottom w:val="0"/>
      <w:divBdr>
        <w:top w:val="none" w:sz="0" w:space="0" w:color="auto"/>
        <w:left w:val="none" w:sz="0" w:space="0" w:color="auto"/>
        <w:bottom w:val="none" w:sz="0" w:space="0" w:color="auto"/>
        <w:right w:val="none" w:sz="0" w:space="0" w:color="auto"/>
      </w:divBdr>
      <w:divsChild>
        <w:div w:id="1342007295">
          <w:marLeft w:val="0"/>
          <w:marRight w:val="0"/>
          <w:marTop w:val="0"/>
          <w:marBottom w:val="0"/>
          <w:divBdr>
            <w:top w:val="none" w:sz="0" w:space="0" w:color="auto"/>
            <w:left w:val="none" w:sz="0" w:space="0" w:color="auto"/>
            <w:bottom w:val="none" w:sz="0" w:space="0" w:color="auto"/>
            <w:right w:val="none" w:sz="0" w:space="0" w:color="auto"/>
          </w:divBdr>
        </w:div>
      </w:divsChild>
    </w:div>
    <w:div w:id="1536850288">
      <w:bodyDiv w:val="1"/>
      <w:marLeft w:val="0"/>
      <w:marRight w:val="0"/>
      <w:marTop w:val="0"/>
      <w:marBottom w:val="0"/>
      <w:divBdr>
        <w:top w:val="none" w:sz="0" w:space="0" w:color="auto"/>
        <w:left w:val="none" w:sz="0" w:space="0" w:color="auto"/>
        <w:bottom w:val="none" w:sz="0" w:space="0" w:color="auto"/>
        <w:right w:val="none" w:sz="0" w:space="0" w:color="auto"/>
      </w:divBdr>
      <w:divsChild>
        <w:div w:id="435908686">
          <w:marLeft w:val="0"/>
          <w:marRight w:val="0"/>
          <w:marTop w:val="0"/>
          <w:marBottom w:val="0"/>
          <w:divBdr>
            <w:top w:val="none" w:sz="0" w:space="0" w:color="auto"/>
            <w:left w:val="none" w:sz="0" w:space="0" w:color="auto"/>
            <w:bottom w:val="none" w:sz="0" w:space="0" w:color="auto"/>
            <w:right w:val="none" w:sz="0" w:space="0" w:color="auto"/>
          </w:divBdr>
        </w:div>
      </w:divsChild>
    </w:div>
    <w:div w:id="2087455660">
      <w:bodyDiv w:val="1"/>
      <w:marLeft w:val="0"/>
      <w:marRight w:val="0"/>
      <w:marTop w:val="0"/>
      <w:marBottom w:val="0"/>
      <w:divBdr>
        <w:top w:val="none" w:sz="0" w:space="0" w:color="auto"/>
        <w:left w:val="none" w:sz="0" w:space="0" w:color="auto"/>
        <w:bottom w:val="none" w:sz="0" w:space="0" w:color="auto"/>
        <w:right w:val="none" w:sz="0" w:space="0" w:color="auto"/>
      </w:divBdr>
      <w:divsChild>
        <w:div w:id="1575894033">
          <w:marLeft w:val="0"/>
          <w:marRight w:val="0"/>
          <w:marTop w:val="0"/>
          <w:marBottom w:val="0"/>
          <w:divBdr>
            <w:top w:val="none" w:sz="0" w:space="0" w:color="auto"/>
            <w:left w:val="none" w:sz="0" w:space="0" w:color="auto"/>
            <w:bottom w:val="none" w:sz="0" w:space="0" w:color="auto"/>
            <w:right w:val="none" w:sz="0" w:space="0" w:color="auto"/>
          </w:divBdr>
          <w:divsChild>
            <w:div w:id="1206917041">
              <w:marLeft w:val="0"/>
              <w:marRight w:val="0"/>
              <w:marTop w:val="0"/>
              <w:marBottom w:val="0"/>
              <w:divBdr>
                <w:top w:val="none" w:sz="0" w:space="0" w:color="auto"/>
                <w:left w:val="none" w:sz="0" w:space="0" w:color="auto"/>
                <w:bottom w:val="none" w:sz="0" w:space="0" w:color="auto"/>
                <w:right w:val="none" w:sz="0" w:space="0" w:color="auto"/>
              </w:divBdr>
              <w:divsChild>
                <w:div w:id="4293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CR@health.usf.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CR@health.usf.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CR@health.usf.edu" TargetMode="External"/><Relationship Id="rId5" Type="http://schemas.openxmlformats.org/officeDocument/2006/relationships/numbering" Target="numbering.xml"/><Relationship Id="rId15" Type="http://schemas.openxmlformats.org/officeDocument/2006/relationships/hyperlink" Target="http://health.usf.edu/research/ocr/index.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FM@health.usf.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E027F-281A-46B0-A35A-4D3965DC0793}">
  <ds:schemaRefs>
    <ds:schemaRef ds:uri="http://schemas.microsoft.com/sharepoint/v3/contenttype/forms"/>
  </ds:schemaRefs>
</ds:datastoreItem>
</file>

<file path=customXml/itemProps2.xml><?xml version="1.0" encoding="utf-8"?>
<ds:datastoreItem xmlns:ds="http://schemas.openxmlformats.org/officeDocument/2006/customXml" ds:itemID="{846AD7D6-0328-47BF-82CD-1358E71CD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A127C7-454F-4C1B-9295-1C82A1B7EA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65FC7D-ED4F-4CDD-887E-444E1553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Jahrsdorfer, Catherine</cp:lastModifiedBy>
  <cp:revision>2</cp:revision>
  <cp:lastPrinted>2017-04-27T19:06:00Z</cp:lastPrinted>
  <dcterms:created xsi:type="dcterms:W3CDTF">2017-05-10T21:03:00Z</dcterms:created>
  <dcterms:modified xsi:type="dcterms:W3CDTF">2017-05-10T21:03:00Z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